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185" w:rsidRPr="00C14B72" w:rsidRDefault="00243185" w:rsidP="00C14B72">
      <w:pPr>
        <w:tabs>
          <w:tab w:val="center" w:pos="4536"/>
          <w:tab w:val="right" w:pos="8280"/>
          <w:tab w:val="right" w:pos="9781"/>
        </w:tabs>
        <w:ind w:right="-58"/>
        <w:jc w:val="left"/>
        <w:rPr>
          <w:rFonts w:ascii="Arial" w:hAnsi="Arial" w:cs="Arial"/>
          <w:b/>
          <w:bCs/>
          <w:sz w:val="24"/>
          <w:szCs w:val="24"/>
        </w:rPr>
      </w:pPr>
      <w:bookmarkStart w:id="0" w:name="OLE_LINK1"/>
      <w:bookmarkStart w:id="1" w:name="OLE_LINK2"/>
      <w:r w:rsidRPr="00C14B72">
        <w:rPr>
          <w:rFonts w:ascii="Arial" w:hAnsi="Arial" w:cs="Arial"/>
          <w:b/>
          <w:bCs/>
          <w:sz w:val="24"/>
          <w:szCs w:val="24"/>
        </w:rPr>
        <w:t>3GPP TSG RAN WG1 Meeting #8</w:t>
      </w:r>
      <w:r w:rsidRPr="00C14B72">
        <w:rPr>
          <w:rFonts w:ascii="Arial" w:eastAsia="MS Mincho" w:hAnsi="Arial" w:cs="Arial" w:hint="eastAsia"/>
          <w:b/>
          <w:bCs/>
          <w:sz w:val="24"/>
          <w:szCs w:val="24"/>
          <w:lang w:eastAsia="ja-JP"/>
        </w:rPr>
        <w:t>8</w:t>
      </w:r>
      <w:r w:rsidRPr="00C14B72">
        <w:rPr>
          <w:rFonts w:ascii="Arial" w:hAnsi="Arial" w:cs="Arial" w:hint="eastAsia"/>
          <w:b/>
          <w:bCs/>
          <w:sz w:val="24"/>
          <w:szCs w:val="24"/>
        </w:rPr>
        <w:t xml:space="preserve">      </w:t>
      </w:r>
      <w:r w:rsidRPr="00C14B72">
        <w:rPr>
          <w:rFonts w:ascii="Arial" w:eastAsia="MS Mincho" w:hAnsi="Arial" w:cs="Arial" w:hint="eastAsia"/>
          <w:b/>
          <w:bCs/>
          <w:sz w:val="24"/>
          <w:szCs w:val="24"/>
          <w:lang w:eastAsia="ja-JP"/>
        </w:rPr>
        <w:t xml:space="preserve">                             </w:t>
      </w:r>
      <w:r w:rsidRPr="00C14B72">
        <w:rPr>
          <w:rFonts w:ascii="Arial" w:hAnsi="Arial" w:cs="Arial"/>
          <w:b/>
          <w:bCs/>
          <w:sz w:val="24"/>
          <w:szCs w:val="24"/>
        </w:rPr>
        <w:tab/>
      </w:r>
      <w:r w:rsidR="00C94147" w:rsidRPr="00C94147">
        <w:rPr>
          <w:rFonts w:ascii="Arial" w:hAnsi="Arial" w:cs="Arial"/>
          <w:b/>
          <w:bCs/>
          <w:sz w:val="24"/>
          <w:szCs w:val="24"/>
        </w:rPr>
        <w:t>R1-1702474</w:t>
      </w:r>
    </w:p>
    <w:p w:rsidR="00243185" w:rsidRPr="00C14B72" w:rsidRDefault="00243185" w:rsidP="00C14B72">
      <w:pPr>
        <w:tabs>
          <w:tab w:val="center" w:pos="4536"/>
          <w:tab w:val="right" w:pos="9072"/>
        </w:tabs>
        <w:jc w:val="left"/>
        <w:rPr>
          <w:rFonts w:ascii="Arial" w:eastAsia="MS Mincho" w:hAnsi="Arial" w:cs="Arial"/>
          <w:b/>
          <w:bCs/>
          <w:sz w:val="24"/>
          <w:szCs w:val="24"/>
          <w:lang w:eastAsia="ja-JP"/>
        </w:rPr>
      </w:pPr>
      <w:r w:rsidRPr="00C14B72">
        <w:rPr>
          <w:rFonts w:ascii="Arial" w:eastAsia="MS Mincho" w:hAnsi="Arial" w:cs="Arial" w:hint="eastAsia"/>
          <w:b/>
          <w:bCs/>
          <w:sz w:val="24"/>
          <w:szCs w:val="24"/>
          <w:lang w:eastAsia="ja-JP"/>
        </w:rPr>
        <w:t>Athens</w:t>
      </w:r>
      <w:r w:rsidRPr="00C14B72">
        <w:rPr>
          <w:rFonts w:ascii="Arial" w:hAnsi="Arial" w:cs="Arial"/>
          <w:b/>
          <w:bCs/>
          <w:sz w:val="24"/>
          <w:szCs w:val="24"/>
        </w:rPr>
        <w:t xml:space="preserve">, </w:t>
      </w:r>
      <w:r w:rsidRPr="00C14B72">
        <w:rPr>
          <w:rFonts w:ascii="Arial" w:eastAsia="MS Mincho" w:hAnsi="Arial" w:cs="Arial" w:hint="eastAsia"/>
          <w:b/>
          <w:bCs/>
          <w:sz w:val="24"/>
          <w:szCs w:val="24"/>
          <w:lang w:eastAsia="ja-JP"/>
        </w:rPr>
        <w:t>Greece</w:t>
      </w:r>
      <w:r w:rsidRPr="00C14B72">
        <w:rPr>
          <w:rFonts w:ascii="Arial" w:hAnsi="Arial" w:cs="Arial"/>
          <w:b/>
          <w:bCs/>
          <w:sz w:val="24"/>
          <w:szCs w:val="24"/>
        </w:rPr>
        <w:t xml:space="preserve"> </w:t>
      </w:r>
      <w:r w:rsidRPr="00C14B72">
        <w:rPr>
          <w:rFonts w:ascii="Arial" w:hAnsi="Arial" w:cs="Arial" w:hint="eastAsia"/>
          <w:b/>
          <w:bCs/>
          <w:sz w:val="24"/>
          <w:szCs w:val="24"/>
        </w:rPr>
        <w:t>1</w:t>
      </w:r>
      <w:r w:rsidRPr="00C14B72">
        <w:rPr>
          <w:rFonts w:ascii="Arial" w:eastAsia="MS Mincho" w:hAnsi="Arial" w:cs="Arial" w:hint="eastAsia"/>
          <w:b/>
          <w:bCs/>
          <w:sz w:val="24"/>
          <w:szCs w:val="24"/>
          <w:lang w:eastAsia="ja-JP"/>
        </w:rPr>
        <w:t>3</w:t>
      </w:r>
      <w:r w:rsidRPr="00C14B72">
        <w:rPr>
          <w:rFonts w:ascii="Arial" w:hAnsi="Arial" w:cs="Arial" w:hint="eastAsia"/>
          <w:b/>
          <w:bCs/>
          <w:sz w:val="24"/>
          <w:szCs w:val="24"/>
          <w:vertAlign w:val="superscript"/>
        </w:rPr>
        <w:t>th</w:t>
      </w:r>
      <w:r w:rsidRPr="00C14B72">
        <w:rPr>
          <w:rFonts w:ascii="Arial" w:hAnsi="Arial" w:cs="Arial" w:hint="eastAsia"/>
          <w:b/>
          <w:bCs/>
          <w:sz w:val="24"/>
          <w:szCs w:val="24"/>
        </w:rPr>
        <w:t xml:space="preserve"> </w:t>
      </w:r>
      <w:r w:rsidRPr="00C14B72">
        <w:rPr>
          <w:rFonts w:ascii="Arial" w:hAnsi="Arial" w:cs="Arial"/>
          <w:b/>
          <w:bCs/>
          <w:sz w:val="24"/>
          <w:szCs w:val="24"/>
        </w:rPr>
        <w:t xml:space="preserve">- </w:t>
      </w:r>
      <w:r w:rsidRPr="00C14B72">
        <w:rPr>
          <w:rFonts w:ascii="Arial" w:hAnsi="Arial" w:cs="Arial" w:hint="eastAsia"/>
          <w:b/>
          <w:bCs/>
          <w:sz w:val="24"/>
          <w:szCs w:val="24"/>
        </w:rPr>
        <w:t>1</w:t>
      </w:r>
      <w:r w:rsidRPr="00C14B72">
        <w:rPr>
          <w:rFonts w:ascii="Arial" w:eastAsia="MS Mincho" w:hAnsi="Arial" w:cs="Arial" w:hint="eastAsia"/>
          <w:b/>
          <w:bCs/>
          <w:sz w:val="24"/>
          <w:szCs w:val="24"/>
          <w:lang w:eastAsia="ja-JP"/>
        </w:rPr>
        <w:t>7</w:t>
      </w:r>
      <w:r w:rsidRPr="00C14B72">
        <w:rPr>
          <w:rFonts w:ascii="Arial" w:hAnsi="Arial" w:cs="Arial"/>
          <w:b/>
          <w:bCs/>
          <w:sz w:val="24"/>
          <w:szCs w:val="24"/>
          <w:vertAlign w:val="superscript"/>
        </w:rPr>
        <w:t>th</w:t>
      </w:r>
      <w:r w:rsidRPr="00C14B72">
        <w:rPr>
          <w:rFonts w:ascii="Arial" w:hAnsi="Arial" w:cs="Arial"/>
          <w:b/>
          <w:bCs/>
          <w:sz w:val="24"/>
          <w:szCs w:val="24"/>
        </w:rPr>
        <w:t xml:space="preserve"> </w:t>
      </w:r>
      <w:r w:rsidRPr="00C14B72">
        <w:rPr>
          <w:rFonts w:ascii="Arial" w:eastAsia="MS Mincho" w:hAnsi="Arial" w:cs="Arial" w:hint="eastAsia"/>
          <w:b/>
          <w:bCs/>
          <w:sz w:val="24"/>
          <w:szCs w:val="24"/>
          <w:lang w:eastAsia="ja-JP"/>
        </w:rPr>
        <w:t>February</w:t>
      </w:r>
      <w:r w:rsidRPr="00C14B72">
        <w:rPr>
          <w:rFonts w:ascii="Arial" w:hAnsi="Arial" w:cs="Arial"/>
          <w:b/>
          <w:bCs/>
          <w:sz w:val="24"/>
          <w:szCs w:val="24"/>
        </w:rPr>
        <w:t xml:space="preserve"> 201</w:t>
      </w:r>
      <w:r w:rsidRPr="00C14B72">
        <w:rPr>
          <w:rFonts w:ascii="Arial" w:eastAsia="MS Mincho" w:hAnsi="Arial" w:cs="Arial" w:hint="eastAsia"/>
          <w:b/>
          <w:bCs/>
          <w:sz w:val="24"/>
          <w:szCs w:val="24"/>
          <w:lang w:eastAsia="ja-JP"/>
        </w:rPr>
        <w:t>7</w:t>
      </w:r>
    </w:p>
    <w:p w:rsidR="003C001F" w:rsidRPr="003C001F" w:rsidRDefault="003C001F" w:rsidP="003C001F">
      <w:pPr>
        <w:widowControl/>
        <w:wordWrap/>
        <w:autoSpaceDE/>
        <w:autoSpaceDN/>
        <w:spacing w:after="0" w:line="336" w:lineRule="auto"/>
        <w:rPr>
          <w:rFonts w:ascii="Times" w:eastAsia="바탕" w:hAnsi="Times" w:cs="Times New Roman"/>
          <w:kern w:val="0"/>
          <w:szCs w:val="20"/>
          <w:lang w:eastAsia="en-US"/>
        </w:rPr>
      </w:pPr>
    </w:p>
    <w:p w:rsidR="003C001F" w:rsidRPr="003C001F" w:rsidRDefault="003C001F" w:rsidP="003C001F">
      <w:pPr>
        <w:widowControl/>
        <w:tabs>
          <w:tab w:val="left" w:pos="1985"/>
        </w:tabs>
        <w:wordWrap/>
        <w:overflowPunct w:val="0"/>
        <w:adjustRightInd w:val="0"/>
        <w:spacing w:after="0" w:line="336" w:lineRule="auto"/>
        <w:textAlignment w:val="baseline"/>
        <w:rPr>
          <w:rFonts w:ascii="Arial" w:eastAsia="바탕" w:hAnsi="Arial" w:cs="Times New Roman"/>
          <w:kern w:val="0"/>
          <w:sz w:val="24"/>
          <w:szCs w:val="20"/>
        </w:rPr>
      </w:pPr>
      <w:bookmarkStart w:id="2" w:name="_Ref298777854"/>
      <w:bookmarkEnd w:id="0"/>
      <w:bookmarkEnd w:id="1"/>
      <w:r w:rsidRPr="003C001F">
        <w:rPr>
          <w:rFonts w:ascii="Arial" w:eastAsia="맑은 고딕" w:hAnsi="Arial" w:cs="Times New Roman"/>
          <w:b/>
          <w:kern w:val="0"/>
          <w:sz w:val="24"/>
          <w:szCs w:val="20"/>
          <w:lang w:eastAsia="zh-CN"/>
        </w:rPr>
        <w:t>Agenda Item:</w:t>
      </w:r>
      <w:r w:rsidRPr="003C001F">
        <w:rPr>
          <w:rFonts w:ascii="Arial" w:eastAsia="맑은 고딕" w:hAnsi="Arial" w:cs="Times New Roman"/>
          <w:kern w:val="0"/>
          <w:sz w:val="24"/>
          <w:szCs w:val="20"/>
          <w:lang w:eastAsia="zh-CN"/>
        </w:rPr>
        <w:tab/>
      </w:r>
      <w:r w:rsidR="00243185">
        <w:rPr>
          <w:rFonts w:ascii="Arial" w:eastAsia="맑은 고딕" w:hAnsi="Arial" w:cs="Times New Roman"/>
          <w:kern w:val="0"/>
          <w:sz w:val="24"/>
          <w:szCs w:val="20"/>
        </w:rPr>
        <w:t>8.1.3.1.2</w:t>
      </w:r>
    </w:p>
    <w:p w:rsidR="003C001F" w:rsidRPr="003C001F" w:rsidRDefault="003C001F" w:rsidP="003C001F">
      <w:pPr>
        <w:widowControl/>
        <w:tabs>
          <w:tab w:val="left" w:pos="1985"/>
        </w:tabs>
        <w:wordWrap/>
        <w:overflowPunct w:val="0"/>
        <w:adjustRightInd w:val="0"/>
        <w:spacing w:after="0" w:line="336" w:lineRule="auto"/>
        <w:textAlignment w:val="baseline"/>
        <w:rPr>
          <w:rFonts w:ascii="Arial" w:eastAsia="바탕" w:hAnsi="Arial" w:cs="Times New Roman"/>
          <w:kern w:val="0"/>
          <w:sz w:val="24"/>
          <w:szCs w:val="20"/>
          <w:lang w:val="en-GB"/>
        </w:rPr>
      </w:pPr>
      <w:r w:rsidRPr="003C001F">
        <w:rPr>
          <w:rFonts w:ascii="Arial" w:eastAsia="맑은 고딕" w:hAnsi="Arial" w:cs="Times New Roman"/>
          <w:b/>
          <w:kern w:val="0"/>
          <w:sz w:val="24"/>
          <w:szCs w:val="20"/>
          <w:lang w:val="en-GB" w:eastAsia="zh-CN"/>
        </w:rPr>
        <w:t xml:space="preserve">Source: </w:t>
      </w:r>
      <w:r w:rsidRPr="003C001F">
        <w:rPr>
          <w:rFonts w:ascii="Arial" w:eastAsia="맑은 고딕" w:hAnsi="Arial" w:cs="Times New Roman"/>
          <w:b/>
          <w:kern w:val="0"/>
          <w:sz w:val="24"/>
          <w:szCs w:val="20"/>
          <w:lang w:val="en-GB" w:eastAsia="zh-CN"/>
        </w:rPr>
        <w:tab/>
      </w:r>
      <w:r w:rsidRPr="003C001F">
        <w:rPr>
          <w:rFonts w:ascii="Arial" w:eastAsia="바탕" w:hAnsi="Arial" w:cs="Times New Roman" w:hint="eastAsia"/>
          <w:kern w:val="0"/>
          <w:sz w:val="24"/>
          <w:szCs w:val="20"/>
          <w:lang w:val="en-GB"/>
        </w:rPr>
        <w:t>LG Electronics</w:t>
      </w:r>
    </w:p>
    <w:p w:rsidR="003C001F" w:rsidRPr="003C001F" w:rsidRDefault="003C001F" w:rsidP="003C001F">
      <w:pPr>
        <w:widowControl/>
        <w:wordWrap/>
        <w:overflowPunct w:val="0"/>
        <w:autoSpaceDE/>
        <w:adjustRightInd w:val="0"/>
        <w:spacing w:after="120" w:line="336" w:lineRule="auto"/>
        <w:textAlignment w:val="baseline"/>
        <w:rPr>
          <w:rFonts w:ascii="Arial" w:eastAsia="맑은 고딕" w:hAnsi="Arial" w:cs="Times New Roman"/>
          <w:kern w:val="0"/>
          <w:sz w:val="24"/>
          <w:szCs w:val="20"/>
          <w:lang w:val="en-GB"/>
        </w:rPr>
      </w:pPr>
      <w:r w:rsidRPr="003C001F">
        <w:rPr>
          <w:rFonts w:ascii="Arial" w:eastAsia="맑은 고딕" w:hAnsi="Arial" w:cs="Times New Roman"/>
          <w:b/>
          <w:kern w:val="0"/>
          <w:sz w:val="24"/>
          <w:szCs w:val="20"/>
          <w:lang w:val="en-GB" w:eastAsia="zh-CN"/>
        </w:rPr>
        <w:t>Title:</w:t>
      </w:r>
      <w:r w:rsidRPr="003C001F">
        <w:rPr>
          <w:rFonts w:ascii="Arial" w:eastAsia="맑은 고딕" w:hAnsi="Arial" w:cs="Times New Roman"/>
          <w:kern w:val="0"/>
          <w:sz w:val="24"/>
          <w:szCs w:val="20"/>
          <w:lang w:val="en-GB" w:eastAsia="zh-CN"/>
        </w:rPr>
        <w:tab/>
      </w:r>
      <w:r w:rsidRPr="003C001F">
        <w:rPr>
          <w:rFonts w:ascii="Arial" w:eastAsia="맑은 고딕" w:hAnsi="Arial" w:cs="Times New Roman" w:hint="eastAsia"/>
          <w:kern w:val="0"/>
          <w:sz w:val="24"/>
          <w:szCs w:val="20"/>
          <w:lang w:val="en-GB"/>
        </w:rPr>
        <w:tab/>
        <w:t xml:space="preserve"> </w:t>
      </w:r>
      <w:r>
        <w:rPr>
          <w:rFonts w:ascii="Arial" w:eastAsia="맑은 고딕" w:hAnsi="Arial" w:cs="Times New Roman" w:hint="eastAsia"/>
          <w:kern w:val="0"/>
          <w:sz w:val="24"/>
          <w:szCs w:val="20"/>
          <w:lang w:val="en-GB"/>
        </w:rPr>
        <w:t xml:space="preserve">  </w:t>
      </w:r>
      <w:r w:rsidR="00243185">
        <w:rPr>
          <w:rFonts w:ascii="Arial" w:eastAsia="맑은 고딕" w:hAnsi="Arial" w:cs="Times New Roman"/>
          <w:kern w:val="0"/>
          <w:sz w:val="24"/>
          <w:szCs w:val="20"/>
          <w:lang w:val="en-GB"/>
        </w:rPr>
        <w:t>Further discussion on common signaling</w:t>
      </w:r>
    </w:p>
    <w:p w:rsidR="003C001F" w:rsidRPr="003C001F" w:rsidRDefault="003C001F" w:rsidP="003C001F">
      <w:pPr>
        <w:widowControl/>
        <w:tabs>
          <w:tab w:val="left" w:pos="1985"/>
        </w:tabs>
        <w:wordWrap/>
        <w:overflowPunct w:val="0"/>
        <w:adjustRightInd w:val="0"/>
        <w:spacing w:after="0" w:line="336" w:lineRule="auto"/>
        <w:ind w:left="1980" w:hanging="1980"/>
        <w:textAlignment w:val="baseline"/>
        <w:rPr>
          <w:rFonts w:ascii="Arial" w:eastAsia="바탕" w:hAnsi="Arial" w:cs="Arial"/>
          <w:kern w:val="0"/>
          <w:sz w:val="24"/>
          <w:szCs w:val="24"/>
          <w:lang w:val="en-GB"/>
        </w:rPr>
      </w:pPr>
      <w:r w:rsidRPr="003C001F">
        <w:rPr>
          <w:rFonts w:ascii="Arial" w:eastAsia="맑은 고딕" w:hAnsi="Arial" w:cs="Times New Roman" w:hint="eastAsia"/>
          <w:b/>
          <w:kern w:val="0"/>
          <w:sz w:val="24"/>
          <w:szCs w:val="20"/>
          <w:lang w:val="en-GB"/>
        </w:rPr>
        <w:t>Document for:</w:t>
      </w:r>
      <w:r w:rsidRPr="003C001F">
        <w:rPr>
          <w:rFonts w:ascii="Arial" w:eastAsia="바탕" w:hAnsi="Arial" w:cs="Arial" w:hint="eastAsia"/>
          <w:kern w:val="0"/>
          <w:sz w:val="24"/>
          <w:szCs w:val="24"/>
          <w:lang w:val="en-GB"/>
        </w:rPr>
        <w:tab/>
        <w:t>Discussion and decision</w:t>
      </w:r>
    </w:p>
    <w:p w:rsidR="003C001F" w:rsidRPr="002C3D9B"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28"/>
          <w:szCs w:val="28"/>
          <w:lang w:eastAsia="zh-CN"/>
        </w:rPr>
      </w:pPr>
      <w:r w:rsidRPr="002C3D9B">
        <w:rPr>
          <w:rFonts w:ascii="Arial" w:eastAsia="맑은 고딕" w:hAnsi="Arial" w:cs="Arial" w:hint="eastAsia"/>
          <w:kern w:val="0"/>
          <w:sz w:val="28"/>
          <w:szCs w:val="28"/>
        </w:rPr>
        <w:t xml:space="preserve">1. </w:t>
      </w:r>
      <w:r w:rsidR="003C001F" w:rsidRPr="002C3D9B">
        <w:rPr>
          <w:rFonts w:ascii="Arial" w:eastAsia="맑은 고딕" w:hAnsi="Arial" w:cs="Arial"/>
          <w:kern w:val="0"/>
          <w:sz w:val="28"/>
          <w:szCs w:val="28"/>
          <w:lang w:eastAsia="zh-CN"/>
        </w:rPr>
        <w:t>Introduction</w:t>
      </w:r>
      <w:bookmarkEnd w:id="2"/>
    </w:p>
    <w:p w:rsidR="007A10A7" w:rsidRPr="002C3D9B" w:rsidRDefault="007A10A7" w:rsidP="003C001F">
      <w:pPr>
        <w:widowControl/>
        <w:wordWrap/>
        <w:autoSpaceDE/>
        <w:autoSpaceDN/>
        <w:spacing w:before="120" w:after="120" w:line="336" w:lineRule="auto"/>
        <w:ind w:firstLineChars="150" w:firstLine="300"/>
        <w:rPr>
          <w:rFonts w:ascii="Times New Roman" w:eastAsia="맑은 고딕" w:hAnsi="Times New Roman" w:cs="Times New Roman"/>
          <w:szCs w:val="20"/>
        </w:rPr>
      </w:pPr>
      <w:r>
        <w:rPr>
          <w:rFonts w:ascii="Times New Roman" w:eastAsia="맑은 고딕" w:hAnsi="Times New Roman" w:cs="Times New Roman"/>
          <w:szCs w:val="20"/>
        </w:rPr>
        <w:t xml:space="preserve">The followings are agreements from RAN1 NR Ad-hoc #1. </w:t>
      </w:r>
    </w:p>
    <w:tbl>
      <w:tblPr>
        <w:tblStyle w:val="aa"/>
        <w:tblW w:w="0" w:type="auto"/>
        <w:tblLook w:val="04A0" w:firstRow="1" w:lastRow="0" w:firstColumn="1" w:lastColumn="0" w:noHBand="0" w:noVBand="1"/>
      </w:tblPr>
      <w:tblGrid>
        <w:gridCol w:w="9629"/>
      </w:tblGrid>
      <w:tr w:rsidR="007A10A7" w:rsidTr="007A10A7">
        <w:tc>
          <w:tcPr>
            <w:tcW w:w="9629" w:type="dxa"/>
          </w:tcPr>
          <w:p w:rsidR="007A10A7" w:rsidRPr="00476354" w:rsidRDefault="007A10A7" w:rsidP="007A10A7">
            <w:pPr>
              <w:pStyle w:val="a8"/>
              <w:spacing w:after="0"/>
              <w:rPr>
                <w:b/>
                <w:szCs w:val="20"/>
                <w:u w:val="single"/>
                <w:lang w:val="en-US" w:eastAsia="ja-JP"/>
              </w:rPr>
            </w:pPr>
            <w:r w:rsidRPr="00BA7C2D">
              <w:rPr>
                <w:rFonts w:eastAsia="MS Mincho" w:hint="eastAsia"/>
                <w:b/>
                <w:szCs w:val="20"/>
                <w:highlight w:val="green"/>
                <w:u w:val="single"/>
                <w:lang w:val="en-US" w:eastAsia="ja-JP"/>
              </w:rPr>
              <w:t>Agreements:</w:t>
            </w:r>
          </w:p>
          <w:p w:rsidR="007A10A7" w:rsidRPr="00AF62DB" w:rsidRDefault="007A10A7" w:rsidP="007A10A7">
            <w:pPr>
              <w:widowControl/>
              <w:numPr>
                <w:ilvl w:val="0"/>
                <w:numId w:val="5"/>
              </w:numPr>
              <w:wordWrap/>
              <w:autoSpaceDE/>
              <w:autoSpaceDN/>
              <w:rPr>
                <w:rFonts w:ascii="Times New Roman" w:eastAsia="MS Mincho" w:hAnsi="Times New Roman" w:cs="Times New Roman"/>
                <w:szCs w:val="20"/>
                <w:lang w:eastAsia="ja-JP"/>
              </w:rPr>
            </w:pPr>
            <w:r w:rsidRPr="00AF62DB">
              <w:rPr>
                <w:rFonts w:ascii="Times New Roman" w:eastAsia="MS Mincho" w:hAnsi="Times New Roman" w:cs="Times New Roman"/>
                <w:szCs w:val="20"/>
                <w:lang w:eastAsia="ja-JP"/>
              </w:rPr>
              <w:t xml:space="preserve">NR supports a ‘group common PDCCH’ carrying information of e.g. the slot structure. </w:t>
            </w:r>
          </w:p>
          <w:p w:rsidR="007A10A7" w:rsidRPr="00AF62DB" w:rsidRDefault="007A10A7" w:rsidP="007A10A7">
            <w:pPr>
              <w:widowControl/>
              <w:numPr>
                <w:ilvl w:val="1"/>
                <w:numId w:val="5"/>
              </w:numPr>
              <w:wordWrap/>
              <w:autoSpaceDE/>
              <w:autoSpaceDN/>
              <w:rPr>
                <w:rFonts w:ascii="Times New Roman" w:eastAsia="MS Mincho" w:hAnsi="Times New Roman" w:cs="Times New Roman"/>
                <w:szCs w:val="20"/>
                <w:lang w:eastAsia="ja-JP"/>
              </w:rPr>
            </w:pPr>
            <w:r w:rsidRPr="00AF62DB">
              <w:rPr>
                <w:rFonts w:ascii="Times New Roman" w:eastAsia="MS Mincho" w:hAnsi="Times New Roman" w:cs="Times New Roman"/>
                <w:szCs w:val="20"/>
                <w:lang w:eastAsia="ja-JP"/>
              </w:rPr>
              <w:t>If the UE does not receive the ‘group common PDCCH’ the UE should be able to receive at least PDCCH in a slot, at least if the gNB did not transmit the ‘group common PDCCH’.</w:t>
            </w:r>
          </w:p>
          <w:p w:rsidR="007A10A7" w:rsidRPr="00AF62DB" w:rsidRDefault="007A10A7" w:rsidP="007A10A7">
            <w:pPr>
              <w:widowControl/>
              <w:numPr>
                <w:ilvl w:val="1"/>
                <w:numId w:val="5"/>
              </w:numPr>
              <w:wordWrap/>
              <w:autoSpaceDE/>
              <w:autoSpaceDN/>
              <w:rPr>
                <w:rFonts w:ascii="Times New Roman" w:eastAsia="MS Mincho" w:hAnsi="Times New Roman" w:cs="Times New Roman"/>
                <w:szCs w:val="20"/>
                <w:lang w:eastAsia="ja-JP"/>
              </w:rPr>
            </w:pPr>
            <w:r w:rsidRPr="00AF62DB">
              <w:rPr>
                <w:rFonts w:ascii="Times New Roman" w:eastAsia="MS Mincho" w:hAnsi="Times New Roman" w:cs="Times New Roman"/>
                <w:szCs w:val="20"/>
                <w:lang w:eastAsia="ja-JP"/>
              </w:rPr>
              <w:t>The network will inform through RRC signalling the UE whether to decode the ‘group common PDCCH’ or not</w:t>
            </w:r>
          </w:p>
          <w:p w:rsidR="007A10A7" w:rsidRPr="00AF62DB" w:rsidRDefault="007A10A7" w:rsidP="007A10A7">
            <w:pPr>
              <w:widowControl/>
              <w:numPr>
                <w:ilvl w:val="1"/>
                <w:numId w:val="5"/>
              </w:numPr>
              <w:wordWrap/>
              <w:autoSpaceDE/>
              <w:autoSpaceDN/>
              <w:rPr>
                <w:rFonts w:ascii="Times New Roman" w:eastAsia="MS Mincho" w:hAnsi="Times New Roman" w:cs="Times New Roman"/>
                <w:szCs w:val="20"/>
                <w:lang w:eastAsia="ja-JP"/>
              </w:rPr>
            </w:pPr>
            <w:r w:rsidRPr="00AF62DB">
              <w:rPr>
                <w:rFonts w:ascii="Times New Roman" w:eastAsia="MS Mincho" w:hAnsi="Times New Roman" w:cs="Times New Roman"/>
                <w:szCs w:val="20"/>
                <w:lang w:eastAsia="ja-JP"/>
              </w:rPr>
              <w:t>Common does not necessarily imply common per cell.</w:t>
            </w:r>
          </w:p>
          <w:p w:rsidR="007A10A7" w:rsidRPr="00AF62DB" w:rsidRDefault="007A10A7" w:rsidP="007A10A7">
            <w:pPr>
              <w:widowControl/>
              <w:numPr>
                <w:ilvl w:val="1"/>
                <w:numId w:val="5"/>
              </w:numPr>
              <w:wordWrap/>
              <w:autoSpaceDE/>
              <w:autoSpaceDN/>
              <w:rPr>
                <w:rFonts w:ascii="Times New Roman" w:eastAsia="MS Mincho" w:hAnsi="Times New Roman" w:cs="Times New Roman"/>
                <w:szCs w:val="20"/>
                <w:lang w:eastAsia="ja-JP"/>
              </w:rPr>
            </w:pPr>
            <w:r w:rsidRPr="00AF62DB">
              <w:rPr>
                <w:rFonts w:ascii="Times New Roman" w:hAnsi="Times New Roman" w:cs="Times New Roman"/>
                <w:szCs w:val="20"/>
              </w:rPr>
              <w:t>Continue the discussion on the detailed content of the ‘group common PDCCH’ including usage for TDD and FDD</w:t>
            </w:r>
          </w:p>
          <w:p w:rsidR="007A10A7" w:rsidRPr="00AF62DB" w:rsidRDefault="007A10A7" w:rsidP="007A10A7">
            <w:pPr>
              <w:widowControl/>
              <w:numPr>
                <w:ilvl w:val="1"/>
                <w:numId w:val="5"/>
              </w:numPr>
              <w:wordWrap/>
              <w:autoSpaceDE/>
              <w:autoSpaceDN/>
              <w:rPr>
                <w:rFonts w:ascii="Times New Roman" w:eastAsia="MS Mincho" w:hAnsi="Times New Roman" w:cs="Times New Roman"/>
                <w:szCs w:val="20"/>
                <w:lang w:eastAsia="ja-JP"/>
              </w:rPr>
            </w:pPr>
            <w:r w:rsidRPr="00AF62DB">
              <w:rPr>
                <w:rFonts w:ascii="Times New Roman" w:hAnsi="Times New Roman" w:cs="Times New Roman"/>
                <w:szCs w:val="20"/>
              </w:rPr>
              <w:t>The term ‘group common PDCCH’ refers to a channel (either a PDCCH or a separately designed channel) that carries information intended for the group of UEs.</w:t>
            </w:r>
          </w:p>
          <w:p w:rsidR="007A10A7" w:rsidRPr="00667397" w:rsidRDefault="007A10A7" w:rsidP="007A10A7">
            <w:pPr>
              <w:rPr>
                <w:rFonts w:ascii="Times New Roman" w:eastAsia="MS Mincho" w:hAnsi="Times New Roman" w:cs="Times New Roman"/>
                <w:b/>
                <w:u w:val="single"/>
                <w:lang w:eastAsia="ja-JP"/>
              </w:rPr>
            </w:pPr>
            <w:r w:rsidRPr="00667397">
              <w:rPr>
                <w:rFonts w:ascii="Times New Roman" w:eastAsia="MS Mincho" w:hAnsi="Times New Roman" w:cs="Times New Roman"/>
                <w:b/>
                <w:highlight w:val="green"/>
                <w:u w:val="single"/>
                <w:lang w:eastAsia="ja-JP"/>
              </w:rPr>
              <w:t>Agreements:</w:t>
            </w:r>
          </w:p>
          <w:p w:rsidR="007A10A7" w:rsidRPr="00667397" w:rsidRDefault="007A10A7" w:rsidP="007A10A7">
            <w:pPr>
              <w:pStyle w:val="a6"/>
              <w:widowControl/>
              <w:numPr>
                <w:ilvl w:val="0"/>
                <w:numId w:val="7"/>
              </w:numPr>
              <w:wordWrap/>
              <w:autoSpaceDE/>
              <w:autoSpaceDN/>
              <w:ind w:leftChars="0"/>
              <w:contextualSpacing/>
              <w:jc w:val="left"/>
              <w:rPr>
                <w:rFonts w:ascii="Times New Roman" w:eastAsia="MS Mincho" w:hAnsi="Times New Roman" w:cs="Times New Roman"/>
                <w:szCs w:val="20"/>
                <w:lang w:eastAsia="ja-JP"/>
              </w:rPr>
            </w:pPr>
            <w:r w:rsidRPr="00667397">
              <w:rPr>
                <w:rFonts w:ascii="Times New Roman" w:eastAsia="MS Mincho" w:hAnsi="Times New Roman" w:cs="Times New Roman"/>
                <w:szCs w:val="20"/>
                <w:lang w:eastAsia="ja-JP"/>
              </w:rPr>
              <w:t>The UE will have the possibility to determine whether some blind decodings can be skipped based on information on a ‘group common PDCCH’ (if present).</w:t>
            </w:r>
          </w:p>
          <w:p w:rsidR="007A10A7" w:rsidRPr="00667397" w:rsidRDefault="007A10A7" w:rsidP="007A10A7">
            <w:pPr>
              <w:pStyle w:val="a6"/>
              <w:widowControl/>
              <w:numPr>
                <w:ilvl w:val="0"/>
                <w:numId w:val="7"/>
              </w:numPr>
              <w:wordWrap/>
              <w:autoSpaceDE/>
              <w:autoSpaceDN/>
              <w:ind w:leftChars="0"/>
              <w:contextualSpacing/>
              <w:jc w:val="left"/>
              <w:rPr>
                <w:rFonts w:ascii="Times New Roman" w:eastAsia="MS Mincho" w:hAnsi="Times New Roman" w:cs="Times New Roman"/>
                <w:szCs w:val="20"/>
                <w:lang w:eastAsia="ja-JP"/>
              </w:rPr>
            </w:pPr>
            <w:r w:rsidRPr="00667397">
              <w:rPr>
                <w:rFonts w:ascii="Times New Roman" w:eastAsia="MS Mincho" w:hAnsi="Times New Roman" w:cs="Times New Roman"/>
                <w:szCs w:val="20"/>
                <w:lang w:eastAsia="ja-JP"/>
              </w:rPr>
              <w:t>FFS: if the data starting position is signaled on the group common PDCCH, the UE may exploit this information to skip some blind decodings</w:t>
            </w:r>
          </w:p>
          <w:p w:rsidR="007A10A7" w:rsidRPr="00667397" w:rsidRDefault="007A10A7" w:rsidP="007A10A7">
            <w:pPr>
              <w:pStyle w:val="a6"/>
              <w:widowControl/>
              <w:numPr>
                <w:ilvl w:val="0"/>
                <w:numId w:val="7"/>
              </w:numPr>
              <w:wordWrap/>
              <w:autoSpaceDE/>
              <w:autoSpaceDN/>
              <w:ind w:leftChars="0"/>
              <w:contextualSpacing/>
              <w:jc w:val="left"/>
              <w:rPr>
                <w:rFonts w:ascii="Times New Roman" w:eastAsia="MS Mincho" w:hAnsi="Times New Roman" w:cs="Times New Roman"/>
                <w:szCs w:val="20"/>
                <w:lang w:eastAsia="ja-JP"/>
              </w:rPr>
            </w:pPr>
            <w:r w:rsidRPr="00667397">
              <w:rPr>
                <w:rFonts w:ascii="Times New Roman" w:eastAsia="MS Mincho" w:hAnsi="Times New Roman" w:cs="Times New Roman"/>
                <w:szCs w:val="20"/>
                <w:lang w:eastAsia="ja-JP"/>
              </w:rPr>
              <w:t>FFS: if the end of the control resource set is signaled on the ‘group common PDCCH’, the UE may exploit this information to skip some blind decodings</w:t>
            </w:r>
          </w:p>
          <w:p w:rsidR="007A10A7" w:rsidRPr="00667397" w:rsidRDefault="007A10A7" w:rsidP="007A10A7">
            <w:pPr>
              <w:pStyle w:val="a6"/>
              <w:widowControl/>
              <w:numPr>
                <w:ilvl w:val="0"/>
                <w:numId w:val="7"/>
              </w:numPr>
              <w:wordWrap/>
              <w:autoSpaceDE/>
              <w:autoSpaceDN/>
              <w:ind w:leftChars="0"/>
              <w:contextualSpacing/>
              <w:jc w:val="left"/>
              <w:rPr>
                <w:rFonts w:ascii="Times New Roman" w:eastAsia="MS Mincho" w:hAnsi="Times New Roman" w:cs="Times New Roman"/>
                <w:szCs w:val="20"/>
                <w:lang w:eastAsia="ja-JP"/>
              </w:rPr>
            </w:pPr>
            <w:r w:rsidRPr="00667397">
              <w:rPr>
                <w:rFonts w:ascii="Times New Roman" w:eastAsia="MS Mincho" w:hAnsi="Times New Roman" w:cs="Times New Roman"/>
                <w:szCs w:val="20"/>
                <w:lang w:eastAsia="ja-JP"/>
              </w:rPr>
              <w:t>FFS: how to handle the case when there is no ‘group common PDCCH’ in a slot</w:t>
            </w:r>
          </w:p>
          <w:p w:rsidR="007A10A7" w:rsidRDefault="007A10A7" w:rsidP="007A10A7">
            <w:pPr>
              <w:pStyle w:val="a6"/>
              <w:widowControl/>
              <w:numPr>
                <w:ilvl w:val="0"/>
                <w:numId w:val="7"/>
              </w:numPr>
              <w:wordWrap/>
              <w:autoSpaceDE/>
              <w:autoSpaceDN/>
              <w:ind w:leftChars="0"/>
              <w:contextualSpacing/>
              <w:jc w:val="left"/>
              <w:rPr>
                <w:rFonts w:ascii="Times New Roman" w:eastAsia="MS Mincho" w:hAnsi="Times New Roman" w:cs="Times New Roman"/>
                <w:szCs w:val="20"/>
                <w:lang w:eastAsia="ja-JP"/>
              </w:rPr>
            </w:pPr>
            <w:r w:rsidRPr="00667397">
              <w:rPr>
                <w:rFonts w:ascii="Times New Roman" w:eastAsia="MS Mincho" w:hAnsi="Times New Roman" w:cs="Times New Roman"/>
                <w:szCs w:val="20"/>
                <w:lang w:eastAsia="ja-JP"/>
              </w:rPr>
              <w:t>When monitoring for a PDCCH, the UE should be able to process a detected PDCCH irrespective of whether the ‘group common PDCCH’ is received or not</w:t>
            </w:r>
          </w:p>
          <w:p w:rsidR="007A10A7" w:rsidRPr="00667397" w:rsidRDefault="007A10A7" w:rsidP="007A10A7">
            <w:pPr>
              <w:pStyle w:val="a6"/>
              <w:widowControl/>
              <w:wordWrap/>
              <w:autoSpaceDE/>
              <w:autoSpaceDN/>
              <w:ind w:leftChars="0" w:left="720"/>
              <w:contextualSpacing/>
              <w:jc w:val="left"/>
              <w:rPr>
                <w:rFonts w:ascii="Times New Roman" w:eastAsia="MS Mincho" w:hAnsi="Times New Roman" w:cs="Times New Roman"/>
                <w:szCs w:val="20"/>
                <w:lang w:eastAsia="ja-JP"/>
              </w:rPr>
            </w:pPr>
          </w:p>
          <w:p w:rsidR="007A10A7" w:rsidRPr="00476354" w:rsidRDefault="007A10A7" w:rsidP="007A10A7">
            <w:pPr>
              <w:pStyle w:val="a8"/>
              <w:spacing w:after="0"/>
              <w:rPr>
                <w:b/>
                <w:szCs w:val="20"/>
                <w:u w:val="single"/>
                <w:lang w:val="en-US" w:eastAsia="ja-JP"/>
              </w:rPr>
            </w:pPr>
            <w:r w:rsidRPr="00BA7C2D">
              <w:rPr>
                <w:rFonts w:eastAsia="MS Mincho" w:hint="eastAsia"/>
                <w:b/>
                <w:szCs w:val="20"/>
                <w:highlight w:val="green"/>
                <w:u w:val="single"/>
                <w:lang w:val="en-US" w:eastAsia="ja-JP"/>
              </w:rPr>
              <w:t>Agreements:</w:t>
            </w:r>
          </w:p>
          <w:p w:rsidR="007A10A7" w:rsidRPr="00476354" w:rsidRDefault="007A10A7" w:rsidP="007A10A7">
            <w:pPr>
              <w:pStyle w:val="a8"/>
              <w:numPr>
                <w:ilvl w:val="0"/>
                <w:numId w:val="6"/>
              </w:numPr>
              <w:spacing w:after="0"/>
              <w:rPr>
                <w:szCs w:val="20"/>
                <w:lang w:val="en-US" w:eastAsia="ja-JP"/>
              </w:rPr>
            </w:pPr>
            <w:r w:rsidRPr="00476354">
              <w:rPr>
                <w:szCs w:val="20"/>
                <w:lang w:val="en-US" w:eastAsia="ja-JP"/>
              </w:rPr>
              <w:t>‘Slot format related information’</w:t>
            </w:r>
          </w:p>
          <w:p w:rsidR="007A10A7" w:rsidRPr="00476354" w:rsidRDefault="007A10A7" w:rsidP="007A10A7">
            <w:pPr>
              <w:pStyle w:val="a8"/>
              <w:numPr>
                <w:ilvl w:val="1"/>
                <w:numId w:val="6"/>
              </w:numPr>
              <w:spacing w:after="0"/>
              <w:rPr>
                <w:szCs w:val="20"/>
                <w:lang w:val="en-US" w:eastAsia="ja-JP"/>
              </w:rPr>
            </w:pPr>
            <w:r w:rsidRPr="00476354">
              <w:rPr>
                <w:szCs w:val="20"/>
                <w:lang w:val="en-US" w:eastAsia="ja-JP"/>
              </w:rPr>
              <w:t>Information from which the UE can derive at least which symbols in a slot that are ‘DL’, ‘UL’ (for Rel-15), and ‘other’, respectively</w:t>
            </w:r>
          </w:p>
          <w:p w:rsidR="007A10A7" w:rsidRPr="00476354" w:rsidRDefault="007A10A7" w:rsidP="007A10A7">
            <w:pPr>
              <w:pStyle w:val="a8"/>
              <w:numPr>
                <w:ilvl w:val="1"/>
                <w:numId w:val="6"/>
              </w:numPr>
              <w:spacing w:after="0"/>
              <w:rPr>
                <w:szCs w:val="20"/>
                <w:lang w:val="en-US" w:eastAsia="ja-JP"/>
              </w:rPr>
            </w:pPr>
            <w:r w:rsidRPr="00476354">
              <w:rPr>
                <w:szCs w:val="20"/>
                <w:lang w:val="en-US" w:eastAsia="ja-JP"/>
              </w:rPr>
              <w:t>FFS: if ‘other’ can be subdivided into ‘blank’, ‘sidelink’, etc</w:t>
            </w:r>
          </w:p>
          <w:p w:rsidR="007A10A7" w:rsidRPr="00476354" w:rsidRDefault="007A10A7" w:rsidP="007A10A7">
            <w:pPr>
              <w:pStyle w:val="a8"/>
              <w:numPr>
                <w:ilvl w:val="0"/>
                <w:numId w:val="6"/>
              </w:numPr>
              <w:spacing w:after="0"/>
              <w:rPr>
                <w:szCs w:val="20"/>
                <w:lang w:val="en-US" w:eastAsia="ja-JP"/>
              </w:rPr>
            </w:pPr>
            <w:r w:rsidRPr="00BA7C2D">
              <w:rPr>
                <w:rFonts w:eastAsia="MS Mincho" w:hint="eastAsia"/>
                <w:szCs w:val="20"/>
                <w:lang w:val="en-US" w:eastAsia="ja-JP"/>
              </w:rPr>
              <w:t xml:space="preserve">FFS: </w:t>
            </w:r>
            <w:r w:rsidRPr="00476354">
              <w:rPr>
                <w:szCs w:val="20"/>
                <w:lang w:val="en-US" w:eastAsia="ja-JP"/>
              </w:rPr>
              <w:t>‘Control resource set duration’</w:t>
            </w:r>
          </w:p>
          <w:p w:rsidR="007A10A7" w:rsidRPr="00476354" w:rsidRDefault="007A10A7" w:rsidP="007A10A7">
            <w:pPr>
              <w:pStyle w:val="a8"/>
              <w:numPr>
                <w:ilvl w:val="1"/>
                <w:numId w:val="6"/>
              </w:numPr>
              <w:spacing w:after="0"/>
              <w:rPr>
                <w:szCs w:val="20"/>
                <w:lang w:val="en-US" w:eastAsia="ja-JP"/>
              </w:rPr>
            </w:pPr>
            <w:r w:rsidRPr="00BA7C2D">
              <w:rPr>
                <w:rFonts w:eastAsia="MS Mincho" w:hint="eastAsia"/>
                <w:szCs w:val="20"/>
                <w:lang w:val="en-US" w:eastAsia="ja-JP"/>
              </w:rPr>
              <w:t xml:space="preserve">FFS: </w:t>
            </w:r>
            <w:r w:rsidRPr="00476354">
              <w:rPr>
                <w:szCs w:val="20"/>
                <w:lang w:val="en-US" w:eastAsia="ja-JP"/>
              </w:rPr>
              <w:t xml:space="preserve">Indicates the duration of the control resource set(s) </w:t>
            </w:r>
          </w:p>
          <w:p w:rsidR="007A10A7" w:rsidRPr="007A10A7" w:rsidRDefault="007A10A7" w:rsidP="007A10A7">
            <w:pPr>
              <w:pStyle w:val="a8"/>
              <w:numPr>
                <w:ilvl w:val="1"/>
                <w:numId w:val="6"/>
              </w:numPr>
              <w:spacing w:after="0"/>
              <w:rPr>
                <w:rFonts w:hint="eastAsia"/>
                <w:szCs w:val="20"/>
                <w:lang w:val="en-US" w:eastAsia="ja-JP"/>
              </w:rPr>
            </w:pPr>
            <w:r w:rsidRPr="00BA7C2D">
              <w:rPr>
                <w:rFonts w:eastAsia="MS Mincho" w:hint="eastAsia"/>
                <w:szCs w:val="20"/>
                <w:lang w:val="en-US" w:eastAsia="ja-JP"/>
              </w:rPr>
              <w:t xml:space="preserve">FFS: </w:t>
            </w:r>
            <w:r w:rsidRPr="00476354">
              <w:rPr>
                <w:szCs w:val="20"/>
                <w:lang w:val="en-US" w:eastAsia="ja-JP"/>
              </w:rPr>
              <w:t>Can help the UE skip some of the semi-statically configured blind decodings. If not received, the UE performs all blind decodings.</w:t>
            </w:r>
          </w:p>
        </w:tc>
      </w:tr>
    </w:tbl>
    <w:p w:rsidR="007A10A7" w:rsidRPr="00E648FF" w:rsidRDefault="00E648FF" w:rsidP="003C001F">
      <w:pPr>
        <w:widowControl/>
        <w:wordWrap/>
        <w:autoSpaceDE/>
        <w:autoSpaceDN/>
        <w:spacing w:before="120" w:after="120" w:line="336" w:lineRule="auto"/>
        <w:ind w:firstLineChars="150" w:firstLine="300"/>
        <w:rPr>
          <w:rFonts w:ascii="Times New Roman" w:eastAsia="맑은 고딕" w:hAnsi="Times New Roman" w:cs="Times New Roman"/>
          <w:szCs w:val="20"/>
        </w:rPr>
      </w:pPr>
      <w:r w:rsidRPr="002C3D9B">
        <w:rPr>
          <w:rFonts w:ascii="Times New Roman" w:eastAsia="바탕" w:hAnsi="Times New Roman" w:cs="Times New Roman" w:hint="eastAsia"/>
          <w:kern w:val="0"/>
          <w:szCs w:val="20"/>
        </w:rPr>
        <w:t xml:space="preserve">In this contribution, we discuss </w:t>
      </w:r>
      <w:r w:rsidRPr="002C3D9B">
        <w:rPr>
          <w:rFonts w:ascii="Times New Roman" w:eastAsia="바탕" w:hAnsi="Times New Roman" w:cs="Times New Roman"/>
          <w:kern w:val="0"/>
          <w:szCs w:val="20"/>
        </w:rPr>
        <w:t xml:space="preserve">on </w:t>
      </w:r>
      <w:r w:rsidRPr="002C3D9B">
        <w:rPr>
          <w:rFonts w:ascii="Times New Roman" w:eastAsia="바탕" w:hAnsi="Times New Roman" w:cs="Times New Roman" w:hint="eastAsia"/>
          <w:kern w:val="0"/>
          <w:szCs w:val="20"/>
        </w:rPr>
        <w:t>common signal considering fallback operations in NR system.</w:t>
      </w:r>
      <w:r w:rsidRPr="002C3D9B">
        <w:rPr>
          <w:rFonts w:ascii="Times New Roman" w:eastAsia="맑은 고딕" w:hAnsi="Times New Roman" w:cs="Times New Roman" w:hint="eastAsia"/>
          <w:szCs w:val="20"/>
        </w:rPr>
        <w:t xml:space="preserve"> According to </w:t>
      </w:r>
      <w:r w:rsidRPr="002C3D9B">
        <w:rPr>
          <w:rFonts w:ascii="Times New Roman" w:eastAsia="맑은 고딕" w:hAnsi="Times New Roman" w:cs="Times New Roman"/>
          <w:szCs w:val="20"/>
        </w:rPr>
        <w:t>different</w:t>
      </w:r>
      <w:r w:rsidRPr="002C3D9B">
        <w:rPr>
          <w:rFonts w:ascii="Times New Roman" w:eastAsia="맑은 고딕" w:hAnsi="Times New Roman" w:cs="Times New Roman" w:hint="eastAsia"/>
          <w:szCs w:val="20"/>
        </w:rPr>
        <w:t xml:space="preserve"> </w:t>
      </w:r>
      <w:r w:rsidRPr="002C3D9B">
        <w:rPr>
          <w:rFonts w:ascii="Times New Roman" w:eastAsia="맑은 고딕" w:hAnsi="Times New Roman" w:cs="Times New Roman"/>
          <w:szCs w:val="20"/>
        </w:rPr>
        <w:t>frequency</w:t>
      </w:r>
      <w:r w:rsidRPr="002C3D9B">
        <w:rPr>
          <w:rFonts w:ascii="Times New Roman" w:eastAsia="맑은 고딕" w:hAnsi="Times New Roman" w:cs="Times New Roman" w:hint="eastAsia"/>
          <w:szCs w:val="20"/>
        </w:rPr>
        <w:t xml:space="preserve"> </w:t>
      </w:r>
      <w:r w:rsidRPr="002C3D9B">
        <w:rPr>
          <w:rFonts w:ascii="Times New Roman" w:eastAsia="바탕" w:hAnsi="Times New Roman" w:cs="Times New Roman" w:hint="eastAsia"/>
          <w:kern w:val="0"/>
          <w:szCs w:val="20"/>
        </w:rPr>
        <w:t>bands</w:t>
      </w:r>
      <w:r w:rsidRPr="002C3D9B">
        <w:rPr>
          <w:rFonts w:ascii="Times New Roman" w:eastAsia="맑은 고딕" w:hAnsi="Times New Roman" w:cs="Times New Roman" w:hint="eastAsia"/>
          <w:szCs w:val="20"/>
        </w:rPr>
        <w:t>, motivations of common signal and fallback operations for common signal are discussed in this contribution.</w:t>
      </w:r>
    </w:p>
    <w:p w:rsidR="003C001F" w:rsidRPr="002C3D9B"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28"/>
          <w:szCs w:val="28"/>
          <w:lang w:eastAsia="zh-CN"/>
        </w:rPr>
      </w:pPr>
      <w:r w:rsidRPr="002C3D9B">
        <w:rPr>
          <w:rFonts w:ascii="Arial" w:eastAsia="맑은 고딕" w:hAnsi="Arial" w:cs="Arial" w:hint="eastAsia"/>
          <w:kern w:val="0"/>
          <w:sz w:val="28"/>
          <w:szCs w:val="28"/>
        </w:rPr>
        <w:lastRenderedPageBreak/>
        <w:t xml:space="preserve">2. </w:t>
      </w:r>
      <w:r w:rsidR="003C001F" w:rsidRPr="002C3D9B">
        <w:rPr>
          <w:rFonts w:ascii="Arial" w:eastAsia="맑은 고딕" w:hAnsi="Arial" w:cs="Arial" w:hint="eastAsia"/>
          <w:kern w:val="0"/>
          <w:sz w:val="28"/>
          <w:szCs w:val="28"/>
        </w:rPr>
        <w:t>Discussion</w:t>
      </w:r>
    </w:p>
    <w:p w:rsidR="002F107C" w:rsidRPr="00786AD7" w:rsidRDefault="002C3D9B" w:rsidP="002C3D9B">
      <w:pPr>
        <w:pStyle w:val="2"/>
        <w:rPr>
          <w:rFonts w:ascii="Arial Unicode MS" w:eastAsia="Arial Unicode MS" w:hAnsi="Arial Unicode MS" w:cs="Arial Unicode MS"/>
        </w:rPr>
      </w:pPr>
      <w:r w:rsidRPr="00786AD7">
        <w:rPr>
          <w:rFonts w:ascii="Arial Unicode MS" w:eastAsia="Arial Unicode MS" w:hAnsi="Arial Unicode MS" w:cs="Arial Unicode MS" w:hint="eastAsia"/>
        </w:rPr>
        <w:t xml:space="preserve">2.1. </w:t>
      </w:r>
      <w:r w:rsidRPr="00786AD7">
        <w:rPr>
          <w:rFonts w:ascii="Arial Unicode MS" w:eastAsia="Arial Unicode MS" w:hAnsi="Arial Unicode MS" w:cs="Arial Unicode MS"/>
        </w:rPr>
        <w:t>Contents for a group common PDCCH</w:t>
      </w:r>
    </w:p>
    <w:p w:rsidR="00B435E2" w:rsidRDefault="00B435E2" w:rsidP="003C001F">
      <w:pPr>
        <w:widowControl/>
        <w:wordWrap/>
        <w:overflowPunct w:val="0"/>
        <w:adjustRightInd w:val="0"/>
        <w:spacing w:afterLines="50" w:after="120" w:line="336" w:lineRule="auto"/>
        <w:ind w:firstLineChars="193" w:firstLine="425"/>
        <w:textAlignment w:val="baseline"/>
        <w:rPr>
          <w:rFonts w:ascii="Times New Roman" w:eastAsia="맑은 고딕" w:hAnsi="Times New Roman" w:cs="Times New Roman"/>
          <w:sz w:val="22"/>
          <w:szCs w:val="20"/>
        </w:rPr>
      </w:pPr>
      <w:r>
        <w:rPr>
          <w:rFonts w:ascii="Times New Roman" w:eastAsia="맑은 고딕" w:hAnsi="Times New Roman" w:cs="Times New Roman" w:hint="eastAsia"/>
          <w:sz w:val="22"/>
          <w:szCs w:val="20"/>
        </w:rPr>
        <w:t xml:space="preserve">As agreed, we consider that slot type indication can be beneficial when flexible duplex operation is used where resources of DL/UL change </w:t>
      </w:r>
      <w:r>
        <w:rPr>
          <w:rFonts w:ascii="Times New Roman" w:eastAsia="맑은 고딕" w:hAnsi="Times New Roman" w:cs="Times New Roman"/>
          <w:sz w:val="22"/>
          <w:szCs w:val="20"/>
        </w:rPr>
        <w:t xml:space="preserve">rather dynamically. </w:t>
      </w:r>
      <w:r w:rsidR="007B04E4">
        <w:rPr>
          <w:rFonts w:ascii="Times New Roman" w:eastAsia="맑은 고딕" w:hAnsi="Times New Roman" w:cs="Times New Roman"/>
          <w:sz w:val="22"/>
          <w:szCs w:val="20"/>
        </w:rPr>
        <w:t xml:space="preserve">As there could be a slot type with all uplink portion, when slot type indication is done, it needs to support indication of information for next slots. Also considering common search space limitation and minimizing always-on signals, instead of a common PDCCH carrying information only about the current slot, it may carry information of a few slots and can be transmitted periodically. </w:t>
      </w:r>
      <w:r w:rsidR="000E13B5">
        <w:rPr>
          <w:rFonts w:ascii="Times New Roman" w:eastAsia="맑은 고딕" w:hAnsi="Times New Roman" w:cs="Times New Roman"/>
          <w:sz w:val="22"/>
          <w:szCs w:val="20"/>
        </w:rPr>
        <w:t xml:space="preserve">Overall, to indicate a common PDCCH for a slot type indication, the following approaches can be considered. </w:t>
      </w:r>
    </w:p>
    <w:p w:rsidR="000E13B5" w:rsidRDefault="000E13B5" w:rsidP="000E13B5">
      <w:pPr>
        <w:pStyle w:val="a6"/>
        <w:widowControl/>
        <w:numPr>
          <w:ilvl w:val="0"/>
          <w:numId w:val="8"/>
        </w:numPr>
        <w:wordWrap/>
        <w:overflowPunct w:val="0"/>
        <w:adjustRightInd w:val="0"/>
        <w:spacing w:afterLines="50" w:after="120" w:line="336" w:lineRule="auto"/>
        <w:ind w:leftChars="0"/>
        <w:textAlignment w:val="baseline"/>
        <w:rPr>
          <w:rFonts w:ascii="Times New Roman" w:eastAsia="맑은 고딕" w:hAnsi="Times New Roman" w:cs="Times New Roman"/>
          <w:sz w:val="22"/>
          <w:szCs w:val="20"/>
        </w:rPr>
      </w:pPr>
      <w:r>
        <w:rPr>
          <w:rFonts w:ascii="Times New Roman" w:eastAsia="맑은 고딕" w:hAnsi="Times New Roman" w:cs="Times New Roman"/>
          <w:sz w:val="22"/>
          <w:szCs w:val="20"/>
        </w:rPr>
        <w:t>A common signal transmission is aperiodic, and it</w:t>
      </w:r>
      <w:r>
        <w:rPr>
          <w:rFonts w:ascii="Times New Roman" w:eastAsia="맑은 고딕" w:hAnsi="Times New Roman" w:cs="Times New Roman" w:hint="eastAsia"/>
          <w:sz w:val="22"/>
          <w:szCs w:val="20"/>
        </w:rPr>
        <w:t xml:space="preserve">, if transmitted, can indicate the information of current slot or next slot. </w:t>
      </w:r>
      <w:r>
        <w:rPr>
          <w:rFonts w:ascii="Times New Roman" w:eastAsia="맑은 고딕" w:hAnsi="Times New Roman" w:cs="Times New Roman"/>
          <w:sz w:val="22"/>
          <w:szCs w:val="20"/>
        </w:rPr>
        <w:t xml:space="preserve">If this approach is used, a UE may not be able to assume that a common signal will be present. In this sense, information obtained by the common PDCCH would be “additional” instead of “essential”. If a UE performs any essential functionalities based on the common PDCCH, this approach would not be satisfactory. As an optional signaling, it is generally desirable that a UE prioritizes the information received by dynamic DCI for data scheduling over the common PDCCH. </w:t>
      </w:r>
    </w:p>
    <w:p w:rsidR="000E13B5" w:rsidRDefault="000E13B5" w:rsidP="000E13B5">
      <w:pPr>
        <w:pStyle w:val="a6"/>
        <w:widowControl/>
        <w:numPr>
          <w:ilvl w:val="0"/>
          <w:numId w:val="8"/>
        </w:numPr>
        <w:wordWrap/>
        <w:overflowPunct w:val="0"/>
        <w:adjustRightInd w:val="0"/>
        <w:spacing w:afterLines="50" w:after="120" w:line="336" w:lineRule="auto"/>
        <w:ind w:leftChars="0"/>
        <w:textAlignment w:val="baseline"/>
        <w:rPr>
          <w:rFonts w:ascii="Times New Roman" w:eastAsia="맑은 고딕" w:hAnsi="Times New Roman" w:cs="Times New Roman"/>
          <w:sz w:val="22"/>
          <w:szCs w:val="20"/>
        </w:rPr>
      </w:pPr>
      <w:r>
        <w:rPr>
          <w:rFonts w:ascii="Times New Roman" w:eastAsia="맑은 고딕" w:hAnsi="Times New Roman" w:cs="Times New Roman"/>
          <w:sz w:val="22"/>
          <w:szCs w:val="20"/>
        </w:rPr>
        <w:t xml:space="preserve">A common signal transmission is periodic, and it can indicate slot types for a set of slots. If this approach is used, a UE may assume that a common signal would be transmitted in a deterministic manner and perform fallback operation in case the common PDCCH missing case assuming no detection. Based on the deterministic behavior, some essential functionality can be defined based on the slot type indication. </w:t>
      </w:r>
    </w:p>
    <w:p w:rsidR="00BB2BE6" w:rsidRDefault="000E13B5" w:rsidP="000E13B5">
      <w:pPr>
        <w:widowControl/>
        <w:wordWrap/>
        <w:overflowPunct w:val="0"/>
        <w:adjustRightInd w:val="0"/>
        <w:spacing w:afterLines="50" w:after="120" w:line="336" w:lineRule="auto"/>
        <w:textAlignment w:val="baseline"/>
        <w:rPr>
          <w:rFonts w:ascii="Times New Roman" w:eastAsia="맑은 고딕" w:hAnsi="Times New Roman" w:cs="Times New Roman"/>
          <w:sz w:val="22"/>
          <w:szCs w:val="20"/>
        </w:rPr>
      </w:pPr>
      <w:r>
        <w:rPr>
          <w:rFonts w:ascii="Times New Roman" w:eastAsia="맑은 고딕" w:hAnsi="Times New Roman" w:cs="Times New Roman"/>
          <w:sz w:val="22"/>
          <w:szCs w:val="20"/>
        </w:rPr>
        <w:t>Depending on the expected UE behaviors upon receiving a common PDCCH, periodic or aperiodic approach can be further considered.</w:t>
      </w:r>
      <w:r w:rsidR="009E63EA">
        <w:rPr>
          <w:rFonts w:ascii="Times New Roman" w:eastAsia="맑은 고딕" w:hAnsi="Times New Roman" w:cs="Times New Roman"/>
          <w:sz w:val="22"/>
          <w:szCs w:val="20"/>
        </w:rPr>
        <w:t xml:space="preserve"> If common signal coveys additional information, a UE may or may not detect the common PDCCH depending on the information. For example, if slot type is used for neighbor cell interference measurement and/or cancellation, depending on overall interference level, it may or may not detect a common PDCCH from neighbor cells and the serving cells. Also, if slot type is to cancel semi-statically configured resources, a UE without any semi-static configuration in a slot may not need to detect a common PDCCH. In case, the common PDCCH conveys essential information, to minimize misbehaved UEs, reliable and deterministic transmission seems necessary. </w:t>
      </w:r>
      <w:r w:rsidR="00BB2BE6">
        <w:rPr>
          <w:rFonts w:ascii="Times New Roman" w:eastAsia="맑은 고딕" w:hAnsi="Times New Roman" w:cs="Times New Roman" w:hint="eastAsia"/>
          <w:sz w:val="22"/>
          <w:szCs w:val="20"/>
        </w:rPr>
        <w:t>O</w:t>
      </w:r>
      <w:r w:rsidR="00BB2BE6">
        <w:rPr>
          <w:rFonts w:ascii="Times New Roman" w:eastAsia="맑은 고딕" w:hAnsi="Times New Roman" w:cs="Times New Roman"/>
          <w:sz w:val="22"/>
          <w:szCs w:val="20"/>
        </w:rPr>
        <w:t xml:space="preserve">verall, from flexible duplex operation perspective, we consider the common PDCCH needs to be transmitted rather periodically, and a UE performs essential functionalities such as dropping grant-free transmission, dropping CSI measurements, etc. </w:t>
      </w:r>
    </w:p>
    <w:p w:rsidR="00BB10DF" w:rsidRPr="00BB10DF" w:rsidRDefault="00BB2BE6" w:rsidP="000E13B5">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1: </w:t>
      </w:r>
      <w:r w:rsidR="00BB10DF" w:rsidRPr="00BB10DF">
        <w:rPr>
          <w:rFonts w:ascii="Times New Roman" w:eastAsia="맑은 고딕" w:hAnsi="Times New Roman" w:cs="Times New Roman"/>
          <w:b/>
          <w:i/>
          <w:sz w:val="22"/>
          <w:szCs w:val="20"/>
        </w:rPr>
        <w:t xml:space="preserve">A common PDCCH for the slot type is transmitted at least periodically. In case the PDCCH is not received during slots to detect at least one the common PDCCH, it is assumed that common PDCCH is missed. </w:t>
      </w:r>
    </w:p>
    <w:p w:rsidR="000E13B5" w:rsidRDefault="00BB10DF" w:rsidP="000E13B5">
      <w:pPr>
        <w:widowControl/>
        <w:wordWrap/>
        <w:overflowPunct w:val="0"/>
        <w:adjustRightInd w:val="0"/>
        <w:spacing w:afterLines="50" w:after="120" w:line="336" w:lineRule="auto"/>
        <w:textAlignment w:val="baseline"/>
        <w:rPr>
          <w:rFonts w:ascii="Times New Roman" w:eastAsia="맑은 고딕" w:hAnsi="Times New Roman" w:cs="Times New Roman"/>
          <w:sz w:val="22"/>
          <w:szCs w:val="20"/>
        </w:rPr>
      </w:pPr>
      <w:r>
        <w:rPr>
          <w:rFonts w:ascii="Times New Roman" w:eastAsia="맑은 고딕" w:hAnsi="Times New Roman" w:cs="Times New Roman"/>
          <w:sz w:val="22"/>
          <w:szCs w:val="20"/>
        </w:rPr>
        <w:t xml:space="preserve"> </w:t>
      </w:r>
      <w:r w:rsidR="009E63EA">
        <w:rPr>
          <w:rFonts w:ascii="Times New Roman" w:eastAsia="맑은 고딕" w:hAnsi="Times New Roman" w:cs="Times New Roman"/>
          <w:sz w:val="22"/>
          <w:szCs w:val="20"/>
        </w:rPr>
        <w:t xml:space="preserve"> </w:t>
      </w:r>
      <w:r w:rsidR="000E13B5" w:rsidRPr="000E13B5">
        <w:rPr>
          <w:rFonts w:ascii="Times New Roman" w:eastAsia="맑은 고딕" w:hAnsi="Times New Roman" w:cs="Times New Roman"/>
          <w:sz w:val="22"/>
          <w:szCs w:val="20"/>
        </w:rPr>
        <w:t xml:space="preserve"> </w:t>
      </w:r>
      <w:r>
        <w:rPr>
          <w:rFonts w:ascii="Times New Roman" w:eastAsia="맑은 고딕" w:hAnsi="Times New Roman" w:cs="Times New Roman"/>
          <w:sz w:val="22"/>
          <w:szCs w:val="20"/>
        </w:rPr>
        <w:t>Another possible content for a common PDCCH may include PDCC</w:t>
      </w:r>
      <w:r w:rsidR="00D90BB7">
        <w:rPr>
          <w:rFonts w:ascii="Times New Roman" w:eastAsia="맑은 고딕" w:hAnsi="Times New Roman" w:cs="Times New Roman"/>
          <w:sz w:val="22"/>
          <w:szCs w:val="20"/>
        </w:rPr>
        <w:t xml:space="preserve">H resource set size in time. It has been proposed that this can reduce UE blind decoding overhead. To achieve blind decoding reduction sufficiently </w:t>
      </w:r>
      <w:r w:rsidR="00D90BB7">
        <w:rPr>
          <w:rFonts w:ascii="Times New Roman" w:eastAsia="맑은 고딕" w:hAnsi="Times New Roman" w:cs="Times New Roman"/>
          <w:sz w:val="22"/>
          <w:szCs w:val="20"/>
        </w:rPr>
        <w:lastRenderedPageBreak/>
        <w:t xml:space="preserve">by this approach, the signal needs to be transmitted at least one slot prior to the effective slot. Otherwise, the benefits seem very limited considering inter-layer processing latency in control channel processing. As discussed for slot-type indication, generally, it seems not easily possible to assume a common PDCCH is transmitted in every slot. In this sense, if this is transmitted, either control resource set size of multiple slots is transmitted or the same configuration is assumed over multiple slots. Considering multiple carriers are aggregated where BD reduction by not monitoring CSS in SCells would be beneficial, transmission of control region size seems excessive burden compared to the potential benefits. In this sense, we consider control region size can be treated with low priority in designing of a common PDCCH. </w:t>
      </w:r>
    </w:p>
    <w:p w:rsidR="00D90BB7" w:rsidRDefault="00D90BB7" w:rsidP="000E13B5">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sidR="00D07E04">
        <w:rPr>
          <w:rFonts w:ascii="Times New Roman" w:eastAsia="맑은 고딕" w:hAnsi="Times New Roman" w:cs="Times New Roman"/>
          <w:b/>
          <w:i/>
          <w:sz w:val="22"/>
          <w:szCs w:val="20"/>
        </w:rPr>
        <w:t>2</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 xml:space="preserve">First focus on slot type indication for further common PDCCH design. </w:t>
      </w:r>
    </w:p>
    <w:p w:rsidR="00D07E04" w:rsidRDefault="00D07E04" w:rsidP="000E13B5">
      <w:pPr>
        <w:widowControl/>
        <w:wordWrap/>
        <w:overflowPunct w:val="0"/>
        <w:adjustRightInd w:val="0"/>
        <w:spacing w:afterLines="50" w:after="120" w:line="336" w:lineRule="auto"/>
        <w:textAlignment w:val="baseline"/>
        <w:rPr>
          <w:rFonts w:ascii="Times New Roman" w:eastAsia="맑은 고딕" w:hAnsi="Times New Roman" w:cs="Times New Roman"/>
          <w:sz w:val="22"/>
          <w:szCs w:val="20"/>
        </w:rPr>
      </w:pPr>
      <w:r>
        <w:rPr>
          <w:rFonts w:ascii="Times New Roman" w:eastAsia="맑은 고딕" w:hAnsi="Times New Roman" w:cs="Times New Roman"/>
          <w:sz w:val="22"/>
          <w:szCs w:val="20"/>
        </w:rPr>
        <w:t>Another potential</w:t>
      </w:r>
      <w:r w:rsidR="00D90BB7">
        <w:rPr>
          <w:rFonts w:ascii="Times New Roman" w:eastAsia="맑은 고딕" w:hAnsi="Times New Roman" w:cs="Times New Roman"/>
          <w:sz w:val="22"/>
          <w:szCs w:val="20"/>
        </w:rPr>
        <w:t xml:space="preserve"> use</w:t>
      </w:r>
      <w:r>
        <w:rPr>
          <w:rFonts w:ascii="Times New Roman" w:eastAsia="맑은 고딕" w:hAnsi="Times New Roman" w:cs="Times New Roman"/>
          <w:sz w:val="22"/>
          <w:szCs w:val="20"/>
        </w:rPr>
        <w:t xml:space="preserve"> </w:t>
      </w:r>
      <w:r w:rsidR="00D90BB7">
        <w:rPr>
          <w:rFonts w:ascii="Times New Roman" w:eastAsia="맑은 고딕" w:hAnsi="Times New Roman" w:cs="Times New Roman"/>
          <w:sz w:val="22"/>
          <w:szCs w:val="20"/>
        </w:rPr>
        <w:t>case of a common PDCCH is to transmit “reserved resource”</w:t>
      </w:r>
      <w:r>
        <w:rPr>
          <w:rFonts w:ascii="Times New Roman" w:eastAsia="맑은 고딕" w:hAnsi="Times New Roman" w:cs="Times New Roman"/>
          <w:sz w:val="22"/>
          <w:szCs w:val="20"/>
        </w:rPr>
        <w:t xml:space="preserve"> of a slot in the next slot to handle a case where resources are preempted dynamically such as due to URLLC/eMBB multiplexing. As discussed in our companion contribution [</w:t>
      </w:r>
      <w:r w:rsidR="00D90B93">
        <w:rPr>
          <w:rFonts w:ascii="Times New Roman" w:eastAsia="맑은 고딕" w:hAnsi="Times New Roman" w:cs="Times New Roman"/>
          <w:sz w:val="22"/>
          <w:szCs w:val="20"/>
        </w:rPr>
        <w:t>1</w:t>
      </w:r>
      <w:r>
        <w:rPr>
          <w:rFonts w:ascii="Times New Roman" w:eastAsia="맑은 고딕" w:hAnsi="Times New Roman" w:cs="Times New Roman"/>
          <w:sz w:val="22"/>
          <w:szCs w:val="20"/>
        </w:rPr>
        <w:t xml:space="preserve">], in terms of indication mechanism, if explicit indication is adopted, common signaling based approach seems the best given the overhead consideration. The signal can be present only if preemption occurs. Thus, if this signaling is adopted, the signal can be aperiodic. </w:t>
      </w:r>
    </w:p>
    <w:p w:rsidR="00D07E04" w:rsidRDefault="00D07E04" w:rsidP="00D07E04">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3</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For additional information, indication of reserved/preempted resource can be considered.</w:t>
      </w:r>
    </w:p>
    <w:p w:rsidR="00D07E04" w:rsidRDefault="00D07E04" w:rsidP="00D07E04">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Pr>
          <w:rFonts w:ascii="Times New Roman" w:eastAsia="맑은 고딕" w:hAnsi="Times New Roman" w:cs="Times New Roman"/>
          <w:b/>
          <w:i/>
          <w:sz w:val="22"/>
          <w:szCs w:val="20"/>
        </w:rPr>
        <w:t xml:space="preserve"> </w:t>
      </w:r>
    </w:p>
    <w:p w:rsidR="00D07E04" w:rsidRPr="00786AD7" w:rsidRDefault="00D07E04" w:rsidP="00D07E04">
      <w:pPr>
        <w:pStyle w:val="2"/>
        <w:rPr>
          <w:rFonts w:ascii="Arial Unicode MS" w:eastAsia="Arial Unicode MS" w:hAnsi="Arial Unicode MS" w:cs="Arial Unicode MS"/>
        </w:rPr>
      </w:pPr>
      <w:r w:rsidRPr="00786AD7">
        <w:rPr>
          <w:rFonts w:ascii="Arial Unicode MS" w:eastAsia="Arial Unicode MS" w:hAnsi="Arial Unicode MS" w:cs="Arial Unicode MS" w:hint="eastAsia"/>
        </w:rPr>
        <w:t>2.</w:t>
      </w:r>
      <w:r w:rsidRPr="00786AD7">
        <w:rPr>
          <w:rFonts w:ascii="Arial Unicode MS" w:eastAsia="Arial Unicode MS" w:hAnsi="Arial Unicode MS" w:cs="Arial Unicode MS"/>
        </w:rPr>
        <w:t>2</w:t>
      </w:r>
      <w:r w:rsidRPr="00786AD7">
        <w:rPr>
          <w:rFonts w:ascii="Arial Unicode MS" w:eastAsia="Arial Unicode MS" w:hAnsi="Arial Unicode MS" w:cs="Arial Unicode MS" w:hint="eastAsia"/>
        </w:rPr>
        <w:t xml:space="preserve">. </w:t>
      </w:r>
      <w:r w:rsidRPr="00786AD7">
        <w:rPr>
          <w:rFonts w:ascii="Arial Unicode MS" w:eastAsia="Arial Unicode MS" w:hAnsi="Arial Unicode MS" w:cs="Arial Unicode MS"/>
        </w:rPr>
        <w:t>Design consideration on common PDCCH</w:t>
      </w:r>
    </w:p>
    <w:p w:rsidR="009258A7" w:rsidRDefault="008A5EC9" w:rsidP="009258A7">
      <w:pPr>
        <w:rPr>
          <w:rFonts w:ascii="Times New Roman" w:hAnsi="Times New Roman" w:cs="Times New Roman"/>
          <w:b/>
          <w:u w:val="single"/>
        </w:rPr>
      </w:pPr>
      <w:r w:rsidRPr="008A5EC9">
        <w:rPr>
          <w:rFonts w:ascii="Times New Roman" w:hAnsi="Times New Roman" w:cs="Times New Roman" w:hint="eastAsia"/>
          <w:b/>
          <w:u w:val="single"/>
        </w:rPr>
        <w:t>Resource used for a common PDCCH</w:t>
      </w:r>
    </w:p>
    <w:p w:rsidR="008A5EC9" w:rsidRDefault="008A5EC9" w:rsidP="009258A7">
      <w:pPr>
        <w:rPr>
          <w:rFonts w:ascii="Times New Roman" w:hAnsi="Times New Roman" w:cs="Times New Roman"/>
        </w:rPr>
      </w:pPr>
      <w:r>
        <w:rPr>
          <w:rFonts w:ascii="Times New Roman" w:hAnsi="Times New Roman" w:cs="Times New Roman"/>
        </w:rPr>
        <w:t xml:space="preserve">Assuming periodic or aperiodic transmission of a common PDCCH, a common PDCCH can be transmitted via common search space or group common search space. In terms of aggregation level used for the PDCCH, it may be further restricted to the maximum aggregation level considering the reliability. In a wideband system, there could be multiple duplicate common search space where different UEs monitor different common search space due to its limited bandwidth or bandwidth adaptation operation, etc. A UE which can monitor multiple common search space or resources simultaneously may acquire multiple copies of the common PDCCH or may be configured to monitor only one common search space. In case a UE can acquire multiple copies, the content needs to be same across different subbands in the wideband. As different subband may be equipped with different slot structure and/or numerology and/or resource allocation in downlink, uplink, guard period, and/or reserved resource, the relationship between common PDCCH and its effective “bandwidth” needs to be clarified. </w:t>
      </w:r>
      <w:r w:rsidR="004F3BC1">
        <w:rPr>
          <w:rFonts w:ascii="Times New Roman" w:hAnsi="Times New Roman" w:cs="Times New Roman"/>
        </w:rPr>
        <w:t>The following approaches can be considered.</w:t>
      </w:r>
    </w:p>
    <w:p w:rsidR="004F3BC1" w:rsidRDefault="004F3BC1" w:rsidP="004F3BC1">
      <w:pPr>
        <w:pStyle w:val="a6"/>
        <w:numPr>
          <w:ilvl w:val="0"/>
          <w:numId w:val="9"/>
        </w:numPr>
        <w:ind w:leftChars="0"/>
        <w:rPr>
          <w:rFonts w:ascii="Times New Roman" w:hAnsi="Times New Roman" w:cs="Times New Roman"/>
        </w:rPr>
      </w:pPr>
      <w:r>
        <w:rPr>
          <w:rFonts w:ascii="Times New Roman" w:hAnsi="Times New Roman" w:cs="Times New Roman" w:hint="eastAsia"/>
        </w:rPr>
        <w:t xml:space="preserve">The wideband is divided in to a few subbands where each subband can have independent CSS, and a common PDCCH is carried in each subband. </w:t>
      </w:r>
      <w:r>
        <w:rPr>
          <w:rFonts w:ascii="Times New Roman" w:hAnsi="Times New Roman" w:cs="Times New Roman"/>
        </w:rPr>
        <w:t xml:space="preserve">The common PDCCH is applied to resources in the corresponding subband only. </w:t>
      </w:r>
    </w:p>
    <w:p w:rsidR="004F3BC1" w:rsidRDefault="004F3BC1" w:rsidP="004F3BC1">
      <w:pPr>
        <w:pStyle w:val="a6"/>
        <w:numPr>
          <w:ilvl w:val="0"/>
          <w:numId w:val="9"/>
        </w:numPr>
        <w:ind w:leftChars="0"/>
        <w:rPr>
          <w:rFonts w:ascii="Times New Roman" w:hAnsi="Times New Roman" w:cs="Times New Roman"/>
        </w:rPr>
      </w:pPr>
      <w:r>
        <w:rPr>
          <w:rFonts w:ascii="Times New Roman" w:hAnsi="Times New Roman" w:cs="Times New Roman"/>
        </w:rPr>
        <w:t xml:space="preserve">There could be multiple resource sets for CSS can be configured where a UE is configured with one resource set for CSS for the common PDCCH. Along with the resource set configuration of CSS, it is also configured the resource region where the common PDCCH is effective. Unless otherwise indicated, it may be assumed that common PDCCH applies to the entire system bandwidth. </w:t>
      </w:r>
    </w:p>
    <w:p w:rsidR="004F3BC1" w:rsidRDefault="004F3BC1" w:rsidP="004F3BC1">
      <w:pPr>
        <w:rPr>
          <w:rFonts w:ascii="Times New Roman" w:hAnsi="Times New Roman" w:cs="Times New Roman"/>
        </w:rPr>
      </w:pPr>
      <w:r>
        <w:rPr>
          <w:rFonts w:ascii="Times New Roman" w:hAnsi="Times New Roman" w:cs="Times New Roman" w:hint="eastAsia"/>
        </w:rPr>
        <w:t>In either approach,</w:t>
      </w:r>
      <w:r>
        <w:rPr>
          <w:rFonts w:ascii="Times New Roman" w:hAnsi="Times New Roman" w:cs="Times New Roman"/>
        </w:rPr>
        <w:t xml:space="preserve"> a UE needs to be configured with SS where a common PDCCH can be monitored and the resource where the common PDCCH applies implicitly or explicitly. </w:t>
      </w:r>
    </w:p>
    <w:p w:rsidR="004F3BC1" w:rsidRDefault="004F3BC1" w:rsidP="004F3BC1">
      <w:pPr>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4</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Further clarification of CSS for the common PDCCH, particularly considering wideband operation, is necessary.</w:t>
      </w:r>
    </w:p>
    <w:p w:rsidR="00786AD7" w:rsidRDefault="00786AD7" w:rsidP="004F3BC1">
      <w:pPr>
        <w:rPr>
          <w:rFonts w:ascii="Times New Roman" w:eastAsia="맑은 고딕" w:hAnsi="Times New Roman" w:cs="Times New Roman"/>
          <w:b/>
          <w:i/>
          <w:sz w:val="22"/>
          <w:szCs w:val="20"/>
        </w:rPr>
      </w:pPr>
    </w:p>
    <w:p w:rsidR="004F3BC1" w:rsidRDefault="004F3BC1" w:rsidP="004F3BC1">
      <w:pPr>
        <w:rPr>
          <w:rFonts w:ascii="Times New Roman" w:hAnsi="Times New Roman" w:cs="Times New Roman"/>
          <w:b/>
          <w:u w:val="single"/>
        </w:rPr>
      </w:pPr>
      <w:r>
        <w:rPr>
          <w:rFonts w:ascii="Times New Roman" w:hAnsi="Times New Roman" w:cs="Times New Roman"/>
          <w:b/>
          <w:u w:val="single"/>
        </w:rPr>
        <w:lastRenderedPageBreak/>
        <w:t>Handling different information between semi-static configuration and a common PDCCH or between dynamic scheduling DCI and a common DCI</w:t>
      </w:r>
    </w:p>
    <w:p w:rsidR="008153A7" w:rsidRDefault="004F3BC1" w:rsidP="004F3BC1">
      <w:pPr>
        <w:rPr>
          <w:rFonts w:ascii="Times New Roman" w:hAnsi="Times New Roman" w:cs="Times New Roman"/>
        </w:rPr>
      </w:pPr>
      <w:r>
        <w:rPr>
          <w:rFonts w:ascii="Times New Roman" w:hAnsi="Times New Roman" w:cs="Times New Roman" w:hint="eastAsia"/>
        </w:rPr>
        <w:t xml:space="preserve">Depending on the content, different handling seems necessary in case the common PDCCH indicates different information from the known information by semi-static configuration or by dynamic scheduling. </w:t>
      </w:r>
      <w:r w:rsidR="00331981">
        <w:rPr>
          <w:rFonts w:ascii="Times New Roman" w:hAnsi="Times New Roman" w:cs="Times New Roman"/>
        </w:rPr>
        <w:t xml:space="preserve">For example, if a slot type includes guard/reserved period which can be used for certain applications such as URLLC, URLLC UEs need to assume that reserved portions can be used for URLLC based on dynamic scheduling. Another issue is how to handle grant-free resource whether this can be transmitted in downlink/reserved resource indicated by the common PDCCH or not. Generally, when the network indicates downlink resource for the grant-free resource portion, it is likely that grant-free transmission may not be successfully received by the network regardless whether the UE transmits or not. In this sense, it is generally better to assume that grant-free resource can be cancelled by the common PDCCH. However, for reserved resource, it may be assumed that still URLLC UEs can utilize the resource. </w:t>
      </w:r>
      <w:r w:rsidR="008153A7">
        <w:rPr>
          <w:rFonts w:ascii="Times New Roman" w:hAnsi="Times New Roman" w:cs="Times New Roman"/>
        </w:rPr>
        <w:t xml:space="preserve">To address this issue, separate slot type indication may be given to different UEs (e.g., eMBB UEs and URLLC UEs) or a UE may assume that semi-statically configured uplink resources are valid unless the portions are reclaimed as downlink. In case preemption indication is used, a common PDCCH can override the scheduling DCI. </w:t>
      </w:r>
    </w:p>
    <w:p w:rsidR="008153A7" w:rsidRDefault="008153A7" w:rsidP="004F3BC1">
      <w:pPr>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5</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Further clarification of priority among different transmissions is necessary considering different use cases and contents on common PDCCH.</w:t>
      </w:r>
    </w:p>
    <w:p w:rsidR="008153A7" w:rsidRDefault="008153A7" w:rsidP="004F3BC1">
      <w:pPr>
        <w:rPr>
          <w:rFonts w:ascii="Times New Roman" w:eastAsia="맑은 고딕" w:hAnsi="Times New Roman" w:cs="Times New Roman"/>
          <w:b/>
          <w:i/>
          <w:sz w:val="22"/>
          <w:szCs w:val="20"/>
        </w:rPr>
      </w:pPr>
    </w:p>
    <w:p w:rsidR="008153A7" w:rsidRDefault="008153A7" w:rsidP="004F3BC1">
      <w:pPr>
        <w:rPr>
          <w:rFonts w:ascii="Times New Roman" w:hAnsi="Times New Roman" w:cs="Times New Roman"/>
          <w:b/>
          <w:u w:val="single"/>
        </w:rPr>
      </w:pPr>
      <w:r>
        <w:rPr>
          <w:rFonts w:ascii="Times New Roman" w:hAnsi="Times New Roman" w:cs="Times New Roman"/>
          <w:b/>
          <w:u w:val="single"/>
        </w:rPr>
        <w:t>Handling CA and cross-carrier scheduling case</w:t>
      </w:r>
    </w:p>
    <w:p w:rsidR="008153A7" w:rsidRDefault="008153A7" w:rsidP="004F3BC1">
      <w:pPr>
        <w:rPr>
          <w:rFonts w:ascii="Times New Roman" w:hAnsi="Times New Roman" w:cs="Times New Roman"/>
        </w:rPr>
      </w:pPr>
      <w:r w:rsidRPr="008153A7">
        <w:rPr>
          <w:rFonts w:ascii="Times New Roman" w:hAnsi="Times New Roman" w:cs="Times New Roman"/>
        </w:rPr>
        <w:t xml:space="preserve">When </w:t>
      </w:r>
      <w:r>
        <w:rPr>
          <w:rFonts w:ascii="Times New Roman" w:hAnsi="Times New Roman" w:cs="Times New Roman"/>
        </w:rPr>
        <w:t xml:space="preserve">slot type indication is considered which involves both downlink and uplink, some clarification is necessary particularly in case different UEs are configured with different uplink carrier while sharing the same downlink carrier. One example, as discussed in LTE-NR coexistence, is to utilize LTE uplink spectrum for NR uplink transmission to achieve better coverage. In that case, instead of utilizing paired uplink spectrum or the same spectrum to downlink spectrum, a UE can utilize different uplink spectrum. In such a case, whether a UE can assume the indicated slot type also to uplink spectrum or not needs to be clarified. Furthermore, when a UE is configured with cross-carrier scheduling for a carrier, whether a common PDCCH can be transmitted from the same carrier or scheduling carrier needs further discussion. </w:t>
      </w:r>
    </w:p>
    <w:p w:rsidR="008153A7" w:rsidRDefault="008153A7" w:rsidP="008153A7">
      <w:pPr>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6</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 xml:space="preserve">Further clarification for the case where downlink and uplink are configured in different frequency band. Handling of cross-carrier case is also necessary. </w:t>
      </w:r>
    </w:p>
    <w:p w:rsidR="00786AD7" w:rsidRDefault="00786AD7" w:rsidP="008153A7">
      <w:pPr>
        <w:rPr>
          <w:rFonts w:ascii="Times New Roman" w:hAnsi="Times New Roman" w:cs="Times New Roman"/>
          <w:b/>
          <w:u w:val="single"/>
        </w:rPr>
      </w:pPr>
    </w:p>
    <w:p w:rsidR="008153A7" w:rsidRDefault="00606E8B" w:rsidP="008153A7">
      <w:pPr>
        <w:rPr>
          <w:rFonts w:ascii="Times New Roman" w:hAnsi="Times New Roman" w:cs="Times New Roman"/>
          <w:b/>
          <w:u w:val="single"/>
        </w:rPr>
      </w:pPr>
      <w:r>
        <w:rPr>
          <w:rFonts w:ascii="Times New Roman" w:hAnsi="Times New Roman" w:cs="Times New Roman"/>
          <w:b/>
          <w:u w:val="single"/>
        </w:rPr>
        <w:t>Fallback case</w:t>
      </w:r>
    </w:p>
    <w:p w:rsidR="00014580" w:rsidRDefault="00606E8B" w:rsidP="008153A7">
      <w:pPr>
        <w:rPr>
          <w:rFonts w:ascii="Times New Roman" w:hAnsi="Times New Roman" w:cs="Times New Roman"/>
        </w:rPr>
      </w:pPr>
      <w:r>
        <w:rPr>
          <w:rFonts w:ascii="Times New Roman" w:hAnsi="Times New Roman" w:cs="Times New Roman"/>
        </w:rPr>
        <w:t>Unless the signalig is purely additional signaling, some fallbac</w:t>
      </w:r>
      <w:r w:rsidR="007B0191">
        <w:rPr>
          <w:rFonts w:ascii="Times New Roman" w:hAnsi="Times New Roman" w:cs="Times New Roman"/>
        </w:rPr>
        <w:t xml:space="preserve">k behavior needs to be defined to handle common PDCCH missing case. One example of fallback operation is to assume that there is semi-statically configured slot types which are applied/assumed in case common PDCCH is missing. </w:t>
      </w:r>
    </w:p>
    <w:p w:rsidR="00014580" w:rsidRDefault="00014580" w:rsidP="008153A7">
      <w:pPr>
        <w:rPr>
          <w:rFonts w:ascii="Times New Roman" w:hAnsi="Times New Roman" w:cs="Times New Roman"/>
        </w:rPr>
      </w:pPr>
      <w:r>
        <w:rPr>
          <w:rFonts w:ascii="Times New Roman" w:hAnsi="Times New Roman" w:cs="Times New Roman"/>
        </w:rPr>
        <w:t xml:space="preserve">Furthermore, in case slot type indication can also change the duration of uplink portions, it needs to be clarified how PUCCH is transmitted. One approach is to assume that fallback configuration is always subset of dynamically indicatable uplink portions (unless it is configured as downlink only subframe) such that a UE transmits PUCCH on the resource following fallback configuration. If this approach is used, regardless of uplink portions configurable by common PDCCH, limited uplink resources are available for PUCCH transmission. As shown in </w:t>
      </w:r>
      <w:r>
        <w:rPr>
          <w:rFonts w:ascii="Times New Roman" w:hAnsi="Times New Roman" w:cs="Times New Roman"/>
        </w:rPr>
        <w:fldChar w:fldCharType="begin"/>
      </w:r>
      <w:r>
        <w:rPr>
          <w:rFonts w:ascii="Times New Roman" w:hAnsi="Times New Roman" w:cs="Times New Roman"/>
        </w:rPr>
        <w:instrText xml:space="preserve"> REF _Ref473894093 \h </w:instrText>
      </w:r>
      <w:r>
        <w:rPr>
          <w:rFonts w:ascii="Times New Roman" w:hAnsi="Times New Roman" w:cs="Times New Roman"/>
        </w:rPr>
      </w:r>
      <w:r>
        <w:rPr>
          <w:rFonts w:ascii="Times New Roman" w:hAnsi="Times New Roman" w:cs="Times New Roman"/>
        </w:rPr>
        <w:fldChar w:fldCharType="separate"/>
      </w:r>
      <w:r>
        <w:t xml:space="preserve">Figure </w:t>
      </w:r>
      <w:r>
        <w:rPr>
          <w:noProof/>
        </w:rPr>
        <w:t>1</w:t>
      </w:r>
      <w:r>
        <w:rPr>
          <w:rFonts w:ascii="Times New Roman" w:hAnsi="Times New Roman" w:cs="Times New Roman"/>
        </w:rPr>
        <w:fldChar w:fldCharType="end"/>
      </w:r>
      <w:r>
        <w:rPr>
          <w:rFonts w:ascii="Times New Roman" w:hAnsi="Times New Roman" w:cs="Times New Roman"/>
        </w:rPr>
        <w:t xml:space="preserve">, regardless of common PDCCH indication on slot type, PUCCH region may be unchanged to avoid any ambiguity between the network and UEs. Also, it is desirable that dynamic PDCCH does not indicate any uplink portion smaller than PUCCH regions. </w:t>
      </w:r>
    </w:p>
    <w:p w:rsidR="00014580" w:rsidRDefault="00014580" w:rsidP="008153A7">
      <w:pPr>
        <w:rPr>
          <w:rFonts w:ascii="Times New Roman" w:hAnsi="Times New Roman" w:cs="Times New Roman"/>
        </w:rPr>
      </w:pPr>
    </w:p>
    <w:p w:rsidR="00014580" w:rsidRDefault="00D90B93" w:rsidP="00014580">
      <w:pPr>
        <w:jc w:val="center"/>
        <w:rPr>
          <w:rFonts w:ascii="Times New Roman" w:hAnsi="Times New Roman" w:cs="Times New Roman"/>
        </w:rPr>
      </w:pPr>
      <w:r w:rsidRPr="00D90B93">
        <w:rPr>
          <w:noProof/>
        </w:rPr>
        <w:lastRenderedPageBreak/>
        <w:drawing>
          <wp:inline distT="0" distB="0" distL="0" distR="0" wp14:anchorId="6114C561">
            <wp:extent cx="4027805" cy="28270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7805" cy="2827020"/>
                    </a:xfrm>
                    <a:prstGeom prst="rect">
                      <a:avLst/>
                    </a:prstGeom>
                    <a:noFill/>
                    <a:ln>
                      <a:noFill/>
                    </a:ln>
                  </pic:spPr>
                </pic:pic>
              </a:graphicData>
            </a:graphic>
          </wp:inline>
        </w:drawing>
      </w:r>
    </w:p>
    <w:p w:rsidR="00014580" w:rsidRDefault="00014580" w:rsidP="00014580">
      <w:pPr>
        <w:pStyle w:val="a9"/>
        <w:jc w:val="center"/>
      </w:pPr>
      <w:bookmarkStart w:id="3" w:name="_Ref473894093"/>
      <w:r>
        <w:t xml:space="preserve">Figure </w:t>
      </w:r>
      <w:fldSimple w:instr=" SEQ Figure \* ARABIC ">
        <w:r>
          <w:rPr>
            <w:noProof/>
          </w:rPr>
          <w:t>1</w:t>
        </w:r>
      </w:fldSimple>
      <w:bookmarkEnd w:id="3"/>
      <w:r>
        <w:t>. Illustration of PUCCH region determined by a fallback configuration</w:t>
      </w:r>
    </w:p>
    <w:p w:rsidR="00D81193" w:rsidRPr="00D81193" w:rsidRDefault="00D81193" w:rsidP="00D81193">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7</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In semi-static resource configuration for fallback operation, consider impact on PUCCH transmission.</w:t>
      </w:r>
    </w:p>
    <w:p w:rsidR="003C001F"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36"/>
          <w:szCs w:val="28"/>
        </w:rPr>
      </w:pPr>
      <w:r>
        <w:rPr>
          <w:rFonts w:ascii="Arial" w:eastAsia="맑은 고딕" w:hAnsi="Arial" w:cs="Arial" w:hint="eastAsia"/>
          <w:kern w:val="0"/>
          <w:sz w:val="36"/>
          <w:szCs w:val="28"/>
        </w:rPr>
        <w:t xml:space="preserve">3. </w:t>
      </w:r>
      <w:r w:rsidR="003C001F" w:rsidRPr="003C001F">
        <w:rPr>
          <w:rFonts w:ascii="Arial" w:eastAsia="맑은 고딕" w:hAnsi="Arial" w:cs="Arial" w:hint="eastAsia"/>
          <w:kern w:val="0"/>
          <w:sz w:val="36"/>
          <w:szCs w:val="28"/>
        </w:rPr>
        <w:t>Conclusion</w:t>
      </w:r>
    </w:p>
    <w:p w:rsidR="00D90B93" w:rsidRPr="00D90B93" w:rsidRDefault="00D90B93" w:rsidP="00D90B93">
      <w:pPr>
        <w:rPr>
          <w:rFonts w:ascii="Times New Roman" w:hAnsi="Times New Roman" w:cs="Times New Roman"/>
        </w:rPr>
      </w:pPr>
      <w:r>
        <w:rPr>
          <w:rFonts w:ascii="Times New Roman" w:hAnsi="Times New Roman" w:cs="Times New Roman" w:hint="cs"/>
        </w:rPr>
        <w:t>T</w:t>
      </w:r>
      <w:r w:rsidR="00786AD7">
        <w:rPr>
          <w:rFonts w:ascii="Times New Roman" w:hAnsi="Times New Roman" w:cs="Times New Roman"/>
        </w:rPr>
        <w:t>his contribution discussed</w:t>
      </w:r>
      <w:bookmarkStart w:id="4" w:name="_GoBack"/>
      <w:bookmarkEnd w:id="4"/>
      <w:r>
        <w:rPr>
          <w:rFonts w:ascii="Times New Roman" w:hAnsi="Times New Roman" w:cs="Times New Roman"/>
        </w:rPr>
        <w:t xml:space="preserve"> a common PDCCH design, and proposed the followings. </w:t>
      </w:r>
    </w:p>
    <w:p w:rsidR="00D90B93" w:rsidRDefault="00D90B93" w:rsidP="00D90B93">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1: A common PDCCH for the slot type is transmitted at least periodically. In case the PDCCH is not received during slots to detect at least one the common PDCCH, it is assumed that common PDCCH is missed. </w:t>
      </w:r>
    </w:p>
    <w:p w:rsidR="00D90B93" w:rsidRDefault="00D90B93" w:rsidP="00D90B93">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2</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 xml:space="preserve">First focus on slot type indication for further common PDCCH design. </w:t>
      </w:r>
    </w:p>
    <w:p w:rsidR="00D90B93" w:rsidRDefault="00D90B93" w:rsidP="00D90B93">
      <w:pPr>
        <w:widowControl/>
        <w:wordWrap/>
        <w:overflowPunct w:val="0"/>
        <w:adjustRightInd w:val="0"/>
        <w:spacing w:afterLines="50" w:after="120" w:line="336" w:lineRule="auto"/>
        <w:textAlignment w:val="baseline"/>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3</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For additional information, indication of reserved/preempted resource can be considered.</w:t>
      </w:r>
    </w:p>
    <w:p w:rsidR="00D90B93" w:rsidRDefault="00D90B93" w:rsidP="00D90B93">
      <w:pPr>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4</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Further clarification of CSS for the common PDCCH, particularly considering wideband operation, is necessary.</w:t>
      </w:r>
    </w:p>
    <w:p w:rsidR="00D90B93" w:rsidRDefault="00D90B93" w:rsidP="00D90B93">
      <w:pPr>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5</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Further clarification of priority among different transmissions is necessary considering different use cases and contents on common PDCCH.</w:t>
      </w:r>
    </w:p>
    <w:p w:rsidR="00D90B93" w:rsidRDefault="00D90B93" w:rsidP="00D90B93">
      <w:pPr>
        <w:rPr>
          <w:rFonts w:ascii="Times New Roman" w:eastAsia="맑은 고딕" w:hAnsi="Times New Roman" w:cs="Times New Roman"/>
          <w:b/>
          <w:i/>
          <w:sz w:val="22"/>
          <w:szCs w:val="20"/>
        </w:rPr>
      </w:pPr>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6</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 xml:space="preserve">Further clarification for the case where downlink and uplink are configured in different frequency band. Handling of cross-carrier case is also necessary. </w:t>
      </w:r>
    </w:p>
    <w:p w:rsidR="00786AD7" w:rsidRPr="00D81193" w:rsidRDefault="00786AD7" w:rsidP="00786AD7">
      <w:r w:rsidRPr="00BB10DF">
        <w:rPr>
          <w:rFonts w:ascii="Times New Roman" w:eastAsia="맑은 고딕" w:hAnsi="Times New Roman" w:cs="Times New Roman"/>
          <w:b/>
          <w:i/>
          <w:sz w:val="22"/>
          <w:szCs w:val="20"/>
        </w:rPr>
        <w:t xml:space="preserve">Proposal </w:t>
      </w:r>
      <w:r>
        <w:rPr>
          <w:rFonts w:ascii="Times New Roman" w:eastAsia="맑은 고딕" w:hAnsi="Times New Roman" w:cs="Times New Roman"/>
          <w:b/>
          <w:i/>
          <w:sz w:val="22"/>
          <w:szCs w:val="20"/>
        </w:rPr>
        <w:t>7</w:t>
      </w:r>
      <w:r w:rsidRPr="00BB10DF">
        <w:rPr>
          <w:rFonts w:ascii="Times New Roman" w:eastAsia="맑은 고딕" w:hAnsi="Times New Roman" w:cs="Times New Roman"/>
          <w:b/>
          <w:i/>
          <w:sz w:val="22"/>
          <w:szCs w:val="20"/>
        </w:rPr>
        <w:t xml:space="preserve">: </w:t>
      </w:r>
      <w:r>
        <w:rPr>
          <w:rFonts w:ascii="Times New Roman" w:eastAsia="맑은 고딕" w:hAnsi="Times New Roman" w:cs="Times New Roman"/>
          <w:b/>
          <w:i/>
          <w:sz w:val="22"/>
          <w:szCs w:val="20"/>
        </w:rPr>
        <w:t>In semi-static resource configuration for fallback operation, consider impact on PUCCH transmission.</w:t>
      </w:r>
    </w:p>
    <w:p w:rsidR="003C001F" w:rsidRPr="003C001F"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36"/>
          <w:szCs w:val="28"/>
          <w:lang w:eastAsia="zh-CN"/>
        </w:rPr>
      </w:pPr>
      <w:r>
        <w:rPr>
          <w:rFonts w:ascii="Arial" w:eastAsia="맑은 고딕" w:hAnsi="Arial" w:cs="Arial" w:hint="eastAsia"/>
          <w:kern w:val="0"/>
          <w:sz w:val="36"/>
          <w:szCs w:val="28"/>
        </w:rPr>
        <w:lastRenderedPageBreak/>
        <w:t xml:space="preserve">4. </w:t>
      </w:r>
      <w:r w:rsidR="003C001F" w:rsidRPr="003C001F">
        <w:rPr>
          <w:rFonts w:ascii="Arial" w:eastAsia="맑은 고딕" w:hAnsi="Arial" w:cs="Arial" w:hint="eastAsia"/>
          <w:kern w:val="0"/>
          <w:sz w:val="36"/>
          <w:szCs w:val="28"/>
        </w:rPr>
        <w:t>Reference</w:t>
      </w:r>
    </w:p>
    <w:p w:rsidR="00F21F3C" w:rsidRPr="00D90B93" w:rsidRDefault="00D90B93" w:rsidP="00D90B93">
      <w:pPr>
        <w:pStyle w:val="References"/>
        <w:tabs>
          <w:tab w:val="clear" w:pos="6031"/>
        </w:tabs>
        <w:ind w:left="426"/>
      </w:pPr>
      <w:r w:rsidRPr="00D90B93">
        <w:rPr>
          <w:rFonts w:eastAsia="맑은 고딕"/>
          <w:szCs w:val="22"/>
          <w:lang w:val="en-GB" w:eastAsia="ko-KR"/>
        </w:rPr>
        <w:t>R1-1702488</w:t>
      </w:r>
      <w:r w:rsidR="00F21F3C" w:rsidRPr="00D90B93">
        <w:rPr>
          <w:rFonts w:hint="eastAsia"/>
          <w:lang w:val="en-GB"/>
        </w:rPr>
        <w:t xml:space="preserve">, LG Electronics, </w:t>
      </w:r>
      <w:r w:rsidR="00F21F3C" w:rsidRPr="00D90B93">
        <w:rPr>
          <w:lang w:val="en-GB"/>
        </w:rPr>
        <w:t>“</w:t>
      </w:r>
      <w:r w:rsidRPr="00D90B93">
        <w:rPr>
          <w:lang w:val="en-GB"/>
        </w:rPr>
        <w:t>Discussion on multiplexing of eMBB and URLLC for downlink</w:t>
      </w:r>
      <w:r w:rsidR="00F21F3C" w:rsidRPr="00D90B93">
        <w:rPr>
          <w:lang w:val="en-GB"/>
        </w:rPr>
        <w:t>”</w:t>
      </w:r>
      <w:r w:rsidR="00F21F3C" w:rsidRPr="00D90B93">
        <w:rPr>
          <w:rFonts w:hint="eastAsia"/>
          <w:lang w:val="en-GB"/>
        </w:rPr>
        <w:t xml:space="preserve"> </w:t>
      </w:r>
      <w:r w:rsidRPr="00D90B93">
        <w:rPr>
          <w:lang w:val="en-GB"/>
        </w:rPr>
        <w:t>Feb</w:t>
      </w:r>
      <w:r w:rsidR="00F21F3C" w:rsidRPr="00D90B93">
        <w:rPr>
          <w:rFonts w:hint="eastAsia"/>
          <w:lang w:val="en-GB"/>
        </w:rPr>
        <w:t>. 2017</w:t>
      </w:r>
    </w:p>
    <w:p w:rsidR="00295519" w:rsidRDefault="00295519"/>
    <w:sectPr w:rsidR="00295519"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11D" w:rsidRDefault="0034011D">
      <w:pPr>
        <w:spacing w:after="0" w:line="240" w:lineRule="auto"/>
      </w:pPr>
      <w:r>
        <w:separator/>
      </w:r>
    </w:p>
  </w:endnote>
  <w:endnote w:type="continuationSeparator" w:id="0">
    <w:p w:rsidR="0034011D" w:rsidRDefault="00340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E93" w:rsidRDefault="003C001F" w:rsidP="005F3927">
    <w:pPr>
      <w:pStyle w:val="a3"/>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786AD7">
      <w:rPr>
        <w:rStyle w:val="a4"/>
        <w:noProof/>
      </w:rPr>
      <w:t>5</w:t>
    </w:r>
    <w:r>
      <w:rPr>
        <w:rStyle w:val="a4"/>
      </w:rPr>
      <w:fldChar w:fldCharType="end"/>
    </w:r>
    <w:r>
      <w:rPr>
        <w:rStyle w:val="a4"/>
      </w:rPr>
      <w:t>/</w:t>
    </w:r>
    <w:r>
      <w:rPr>
        <w:rStyle w:val="a4"/>
      </w:rPr>
      <w:fldChar w:fldCharType="begin"/>
    </w:r>
    <w:r>
      <w:rPr>
        <w:rStyle w:val="a4"/>
      </w:rPr>
      <w:instrText xml:space="preserve"> NUMPAGES </w:instrText>
    </w:r>
    <w:r>
      <w:rPr>
        <w:rStyle w:val="a4"/>
      </w:rPr>
      <w:fldChar w:fldCharType="separate"/>
    </w:r>
    <w:r w:rsidR="00786AD7">
      <w:rPr>
        <w:rStyle w:val="a4"/>
        <w:noProof/>
      </w:rPr>
      <w:t>6</w:t>
    </w:r>
    <w:r>
      <w:rPr>
        <w:rStyle w:val="a4"/>
      </w:rPr>
      <w:fldChar w:fldCharType="end"/>
    </w:r>
    <w:r>
      <w:rPr>
        <w:rStyle w:val="a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11D" w:rsidRDefault="0034011D">
      <w:pPr>
        <w:spacing w:after="0" w:line="240" w:lineRule="auto"/>
      </w:pPr>
      <w:r>
        <w:separator/>
      </w:r>
    </w:p>
  </w:footnote>
  <w:footnote w:type="continuationSeparator" w:id="0">
    <w:p w:rsidR="0034011D" w:rsidRDefault="003401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E93" w:rsidRDefault="003C00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B02FFF"/>
    <w:multiLevelType w:val="hybridMultilevel"/>
    <w:tmpl w:val="BA980046"/>
    <w:lvl w:ilvl="0" w:tplc="00145C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D1D28"/>
    <w:multiLevelType w:val="hybridMultilevel"/>
    <w:tmpl w:val="7610E2E8"/>
    <w:lvl w:ilvl="0" w:tplc="07EAFEB2">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53779"/>
    <w:multiLevelType w:val="hybridMultilevel"/>
    <w:tmpl w:val="D1C63690"/>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4D76CDB"/>
    <w:multiLevelType w:val="hybridMultilevel"/>
    <w:tmpl w:val="F37C88B4"/>
    <w:lvl w:ilvl="0" w:tplc="84960430">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8"/>
  </w:num>
  <w:num w:numId="2">
    <w:abstractNumId w:val="5"/>
  </w:num>
  <w:num w:numId="3">
    <w:abstractNumId w:val="7"/>
  </w:num>
  <w:num w:numId="4">
    <w:abstractNumId w:val="6"/>
  </w:num>
  <w:num w:numId="5">
    <w:abstractNumId w:val="2"/>
  </w:num>
  <w:num w:numId="6">
    <w:abstractNumId w:val="0"/>
  </w:num>
  <w:num w:numId="7">
    <w:abstractNumId w:val="4"/>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01F"/>
    <w:rsid w:val="00014580"/>
    <w:rsid w:val="00080A76"/>
    <w:rsid w:val="000E13B5"/>
    <w:rsid w:val="00111FB1"/>
    <w:rsid w:val="00113E88"/>
    <w:rsid w:val="00141CA2"/>
    <w:rsid w:val="001C7264"/>
    <w:rsid w:val="002006B6"/>
    <w:rsid w:val="00243185"/>
    <w:rsid w:val="00295519"/>
    <w:rsid w:val="002C3D9B"/>
    <w:rsid w:val="002F107C"/>
    <w:rsid w:val="00331981"/>
    <w:rsid w:val="0034011D"/>
    <w:rsid w:val="003C001F"/>
    <w:rsid w:val="003C4C24"/>
    <w:rsid w:val="003E33D8"/>
    <w:rsid w:val="0049081D"/>
    <w:rsid w:val="004B2C4B"/>
    <w:rsid w:val="004D2D5B"/>
    <w:rsid w:val="004F3BC1"/>
    <w:rsid w:val="00606E8B"/>
    <w:rsid w:val="00667397"/>
    <w:rsid w:val="0069097B"/>
    <w:rsid w:val="006A7417"/>
    <w:rsid w:val="007542CE"/>
    <w:rsid w:val="00786AD7"/>
    <w:rsid w:val="007A10A7"/>
    <w:rsid w:val="007A2555"/>
    <w:rsid w:val="007B0191"/>
    <w:rsid w:val="007B04E4"/>
    <w:rsid w:val="007C1DF3"/>
    <w:rsid w:val="008153A7"/>
    <w:rsid w:val="00856025"/>
    <w:rsid w:val="008A5EC9"/>
    <w:rsid w:val="0092080B"/>
    <w:rsid w:val="009258A7"/>
    <w:rsid w:val="009C030A"/>
    <w:rsid w:val="009E63EA"/>
    <w:rsid w:val="00AB4356"/>
    <w:rsid w:val="00AF62DB"/>
    <w:rsid w:val="00B435E2"/>
    <w:rsid w:val="00BB10DF"/>
    <w:rsid w:val="00BB2BE6"/>
    <w:rsid w:val="00BC5F1F"/>
    <w:rsid w:val="00C14B72"/>
    <w:rsid w:val="00C3077E"/>
    <w:rsid w:val="00C94147"/>
    <w:rsid w:val="00CC7445"/>
    <w:rsid w:val="00D07E04"/>
    <w:rsid w:val="00D406E5"/>
    <w:rsid w:val="00D81193"/>
    <w:rsid w:val="00D90B93"/>
    <w:rsid w:val="00D90BB7"/>
    <w:rsid w:val="00D92440"/>
    <w:rsid w:val="00DB7C6C"/>
    <w:rsid w:val="00E40A66"/>
    <w:rsid w:val="00E411A4"/>
    <w:rsid w:val="00E54E8F"/>
    <w:rsid w:val="00E648FF"/>
    <w:rsid w:val="00E91357"/>
    <w:rsid w:val="00E919D0"/>
    <w:rsid w:val="00EA191E"/>
    <w:rsid w:val="00F21F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0DB4A-D7B9-4E92-A528-C1254BF4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unhideWhenUsed/>
    <w:qFormat/>
    <w:rsid w:val="002C3D9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C001F"/>
    <w:pPr>
      <w:tabs>
        <w:tab w:val="center" w:pos="4513"/>
        <w:tab w:val="right" w:pos="9026"/>
      </w:tabs>
      <w:snapToGrid w:val="0"/>
    </w:pPr>
  </w:style>
  <w:style w:type="character" w:customStyle="1" w:styleId="Char">
    <w:name w:val="바닥글 Char"/>
    <w:basedOn w:val="a0"/>
    <w:link w:val="a3"/>
    <w:uiPriority w:val="99"/>
    <w:rsid w:val="003C001F"/>
  </w:style>
  <w:style w:type="character" w:styleId="a4">
    <w:name w:val="page number"/>
    <w:basedOn w:val="a0"/>
    <w:semiHidden/>
    <w:rsid w:val="003C001F"/>
  </w:style>
  <w:style w:type="paragraph" w:styleId="a5">
    <w:name w:val="header"/>
    <w:basedOn w:val="a"/>
    <w:link w:val="Char0"/>
    <w:uiPriority w:val="99"/>
    <w:unhideWhenUsed/>
    <w:rsid w:val="00C3077E"/>
    <w:pPr>
      <w:tabs>
        <w:tab w:val="center" w:pos="4513"/>
        <w:tab w:val="right" w:pos="9026"/>
      </w:tabs>
      <w:snapToGrid w:val="0"/>
    </w:pPr>
  </w:style>
  <w:style w:type="character" w:customStyle="1" w:styleId="Char0">
    <w:name w:val="머리글 Char"/>
    <w:basedOn w:val="a0"/>
    <w:link w:val="a5"/>
    <w:uiPriority w:val="99"/>
    <w:rsid w:val="00C3077E"/>
  </w:style>
  <w:style w:type="paragraph" w:styleId="a6">
    <w:name w:val="List Paragraph"/>
    <w:basedOn w:val="a"/>
    <w:link w:val="Char1"/>
    <w:uiPriority w:val="34"/>
    <w:qFormat/>
    <w:rsid w:val="00C3077E"/>
    <w:pPr>
      <w:ind w:leftChars="400" w:left="800"/>
    </w:pPr>
  </w:style>
  <w:style w:type="paragraph" w:styleId="a7">
    <w:name w:val="Balloon Text"/>
    <w:basedOn w:val="a"/>
    <w:link w:val="Char2"/>
    <w:uiPriority w:val="99"/>
    <w:semiHidden/>
    <w:unhideWhenUsed/>
    <w:rsid w:val="00D406E5"/>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406E5"/>
    <w:rPr>
      <w:rFonts w:asciiTheme="majorHAnsi" w:eastAsiaTheme="majorEastAsia" w:hAnsiTheme="majorHAnsi" w:cstheme="majorBidi"/>
      <w:sz w:val="18"/>
      <w:szCs w:val="18"/>
    </w:rPr>
  </w:style>
  <w:style w:type="paragraph" w:customStyle="1" w:styleId="References">
    <w:name w:val="References"/>
    <w:basedOn w:val="a"/>
    <w:rsid w:val="00F21F3C"/>
    <w:pPr>
      <w:widowControl/>
      <w:numPr>
        <w:numId w:val="3"/>
      </w:numPr>
      <w:wordWrap/>
      <w:spacing w:before="60" w:after="60" w:line="360" w:lineRule="atLeast"/>
    </w:pPr>
    <w:rPr>
      <w:rFonts w:ascii="Times New Roman" w:eastAsia="SimSun" w:hAnsi="Times New Roman" w:cs="Times New Roman"/>
      <w:kern w:val="0"/>
      <w:sz w:val="22"/>
      <w:szCs w:val="16"/>
      <w:lang w:eastAsia="en-US"/>
    </w:rPr>
  </w:style>
  <w:style w:type="paragraph" w:styleId="a8">
    <w:name w:val="Body Text"/>
    <w:aliases w:val="bt"/>
    <w:basedOn w:val="a"/>
    <w:link w:val="Char3"/>
    <w:rsid w:val="00AF62DB"/>
    <w:pPr>
      <w:widowControl/>
      <w:wordWrap/>
      <w:autoSpaceDE/>
      <w:autoSpaceDN/>
      <w:spacing w:after="120" w:line="240" w:lineRule="auto"/>
      <w:ind w:left="1440" w:hanging="1440"/>
    </w:pPr>
    <w:rPr>
      <w:rFonts w:ascii="Times" w:eastAsia="바탕" w:hAnsi="Times" w:cs="Times New Roman"/>
      <w:kern w:val="0"/>
      <w:szCs w:val="24"/>
      <w:lang w:val="en-GB" w:eastAsia="x-none"/>
    </w:rPr>
  </w:style>
  <w:style w:type="character" w:customStyle="1" w:styleId="Char3">
    <w:name w:val="본문 Char"/>
    <w:aliases w:val="bt Char"/>
    <w:basedOn w:val="a0"/>
    <w:link w:val="a8"/>
    <w:rsid w:val="00AF62DB"/>
    <w:rPr>
      <w:rFonts w:ascii="Times" w:eastAsia="바탕" w:hAnsi="Times" w:cs="Times New Roman"/>
      <w:kern w:val="0"/>
      <w:szCs w:val="24"/>
      <w:lang w:val="en-GB" w:eastAsia="x-none"/>
    </w:rPr>
  </w:style>
  <w:style w:type="character" w:customStyle="1" w:styleId="Char1">
    <w:name w:val="목록 단락 Char"/>
    <w:link w:val="a6"/>
    <w:uiPriority w:val="34"/>
    <w:rsid w:val="00667397"/>
  </w:style>
  <w:style w:type="character" w:customStyle="1" w:styleId="2Char">
    <w:name w:val="제목 2 Char"/>
    <w:basedOn w:val="a0"/>
    <w:link w:val="2"/>
    <w:uiPriority w:val="9"/>
    <w:rsid w:val="002C3D9B"/>
    <w:rPr>
      <w:rFonts w:asciiTheme="majorHAnsi" w:eastAsiaTheme="majorEastAsia" w:hAnsiTheme="majorHAnsi" w:cstheme="majorBidi"/>
    </w:rPr>
  </w:style>
  <w:style w:type="paragraph" w:styleId="a9">
    <w:name w:val="caption"/>
    <w:basedOn w:val="a"/>
    <w:next w:val="a"/>
    <w:uiPriority w:val="35"/>
    <w:unhideWhenUsed/>
    <w:qFormat/>
    <w:rsid w:val="00014580"/>
    <w:rPr>
      <w:b/>
      <w:bCs/>
      <w:szCs w:val="20"/>
    </w:rPr>
  </w:style>
  <w:style w:type="table" w:styleId="aa">
    <w:name w:val="Table Grid"/>
    <w:basedOn w:val="a1"/>
    <w:uiPriority w:val="59"/>
    <w:rsid w:val="007A10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585B5-CD79-44F1-A2CB-507469D0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2142</Words>
  <Characters>12211</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Seokmin Shin2</dc:creator>
  <cp:lastModifiedBy>yunjung1</cp:lastModifiedBy>
  <cp:revision>7</cp:revision>
  <dcterms:created xsi:type="dcterms:W3CDTF">2017-02-05T14:06:00Z</dcterms:created>
  <dcterms:modified xsi:type="dcterms:W3CDTF">2017-02-06T22:13:00Z</dcterms:modified>
</cp:coreProperties>
</file>